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2550" w:type="dxa"/>
        <w:tblLook w:val="04A0" w:firstRow="1" w:lastRow="0" w:firstColumn="1" w:lastColumn="0" w:noHBand="0" w:noVBand="1"/>
      </w:tblPr>
      <w:tblGrid>
        <w:gridCol w:w="4397"/>
        <w:gridCol w:w="1556"/>
        <w:gridCol w:w="2119"/>
        <w:gridCol w:w="2239"/>
        <w:gridCol w:w="2602"/>
      </w:tblGrid>
      <w:tr w:rsidR="00141AD4" w:rsidRPr="00F36B73" w:rsidTr="00141AD4">
        <w:trPr>
          <w:trHeight w:val="315"/>
        </w:trPr>
        <w:tc>
          <w:tcPr>
            <w:tcW w:w="4397" w:type="dxa"/>
            <w:noWrap/>
            <w:hideMark/>
          </w:tcPr>
          <w:p w:rsidR="00141AD4" w:rsidRPr="00F36B73" w:rsidRDefault="00141AD4" w:rsidP="00F36B73">
            <w:pPr>
              <w:rPr>
                <w:b/>
                <w:bCs/>
              </w:rPr>
            </w:pPr>
            <w:bookmarkStart w:id="0" w:name="_GoBack"/>
            <w:bookmarkEnd w:id="0"/>
            <w:r w:rsidRPr="00F36B73">
              <w:rPr>
                <w:b/>
                <w:bCs/>
              </w:rPr>
              <w:t>Task</w:t>
            </w:r>
          </w:p>
        </w:tc>
        <w:tc>
          <w:tcPr>
            <w:tcW w:w="1556" w:type="dxa"/>
            <w:noWrap/>
            <w:hideMark/>
          </w:tcPr>
          <w:p w:rsidR="00141AD4" w:rsidRPr="00F36B73" w:rsidRDefault="00141AD4" w:rsidP="00F36B73">
            <w:pPr>
              <w:rPr>
                <w:b/>
                <w:bCs/>
              </w:rPr>
            </w:pPr>
            <w:r w:rsidRPr="00F36B73">
              <w:rPr>
                <w:b/>
                <w:bCs/>
              </w:rPr>
              <w:t>Map Reference</w:t>
            </w:r>
          </w:p>
        </w:tc>
        <w:tc>
          <w:tcPr>
            <w:tcW w:w="2119" w:type="dxa"/>
            <w:noWrap/>
            <w:hideMark/>
          </w:tcPr>
          <w:p w:rsidR="00141AD4" w:rsidRPr="00F36B73" w:rsidRDefault="00141AD4" w:rsidP="00F36B73">
            <w:pPr>
              <w:rPr>
                <w:b/>
                <w:bCs/>
              </w:rPr>
            </w:pPr>
            <w:r w:rsidRPr="00F36B73">
              <w:rPr>
                <w:b/>
                <w:bCs/>
              </w:rPr>
              <w:t>Timeline</w:t>
            </w:r>
          </w:p>
        </w:tc>
        <w:tc>
          <w:tcPr>
            <w:tcW w:w="2239" w:type="dxa"/>
            <w:noWrap/>
            <w:hideMark/>
          </w:tcPr>
          <w:p w:rsidR="00141AD4" w:rsidRPr="00F36B73" w:rsidRDefault="00141AD4" w:rsidP="00F36B73">
            <w:pPr>
              <w:rPr>
                <w:b/>
                <w:bCs/>
              </w:rPr>
            </w:pPr>
            <w:r w:rsidRPr="00F36B73">
              <w:rPr>
                <w:b/>
                <w:bCs/>
              </w:rPr>
              <w:t>Responsible Party(</w:t>
            </w:r>
            <w:proofErr w:type="spellStart"/>
            <w:r w:rsidRPr="00F36B73">
              <w:rPr>
                <w:b/>
                <w:bCs/>
              </w:rPr>
              <w:t>ies</w:t>
            </w:r>
            <w:proofErr w:type="spellEnd"/>
            <w:r w:rsidRPr="00F36B73">
              <w:rPr>
                <w:b/>
                <w:bCs/>
              </w:rPr>
              <w:t>)</w:t>
            </w:r>
          </w:p>
        </w:tc>
        <w:tc>
          <w:tcPr>
            <w:tcW w:w="2239" w:type="dxa"/>
          </w:tcPr>
          <w:p w:rsidR="00141AD4" w:rsidRPr="00F36B73" w:rsidRDefault="00141AD4" w:rsidP="00F36B73">
            <w:pPr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</w:p>
        </w:tc>
      </w:tr>
      <w:tr w:rsidR="00141AD4" w:rsidRPr="00F36B73" w:rsidTr="00141AD4">
        <w:trPr>
          <w:trHeight w:val="315"/>
        </w:trPr>
        <w:tc>
          <w:tcPr>
            <w:tcW w:w="4397" w:type="dxa"/>
            <w:noWrap/>
            <w:hideMark/>
          </w:tcPr>
          <w:p w:rsidR="00141AD4" w:rsidRPr="00F36B73" w:rsidRDefault="00141AD4">
            <w:r w:rsidRPr="00F36B73">
              <w:t>Student Career Placement</w:t>
            </w:r>
          </w:p>
        </w:tc>
        <w:tc>
          <w:tcPr>
            <w:tcW w:w="1556" w:type="dxa"/>
            <w:noWrap/>
            <w:hideMark/>
          </w:tcPr>
          <w:p w:rsidR="00141AD4" w:rsidRPr="00F36B73" w:rsidRDefault="00141AD4" w:rsidP="00F36B73">
            <w:r w:rsidRPr="00F36B73">
              <w:t>II.2.3.5</w:t>
            </w:r>
          </w:p>
        </w:tc>
        <w:tc>
          <w:tcPr>
            <w:tcW w:w="2119" w:type="dxa"/>
            <w:noWrap/>
            <w:hideMark/>
          </w:tcPr>
          <w:p w:rsidR="00141AD4" w:rsidRPr="00F36B73" w:rsidRDefault="00141AD4">
            <w:r w:rsidRPr="00F36B73">
              <w:t>Fall, 2013</w:t>
            </w:r>
          </w:p>
        </w:tc>
        <w:tc>
          <w:tcPr>
            <w:tcW w:w="2239" w:type="dxa"/>
            <w:noWrap/>
            <w:hideMark/>
          </w:tcPr>
          <w:p w:rsidR="00141AD4" w:rsidRPr="00F36B73" w:rsidRDefault="00141AD4">
            <w:r w:rsidRPr="00F36B73">
              <w:t>Career Services</w:t>
            </w:r>
          </w:p>
        </w:tc>
        <w:tc>
          <w:tcPr>
            <w:tcW w:w="2239" w:type="dxa"/>
          </w:tcPr>
          <w:p w:rsidR="00141AD4" w:rsidRPr="00F36B73" w:rsidRDefault="00141AD4">
            <w:r>
              <w:t>Added internship coordinator</w:t>
            </w:r>
            <w:r w:rsidR="003C589B">
              <w:t xml:space="preserve"> spring 2013</w:t>
            </w:r>
            <w:r>
              <w:t>.</w:t>
            </w:r>
            <w:r w:rsidR="00A666CC">
              <w:t xml:space="preserve"> Services are available for all who graduate from BSU.</w:t>
            </w:r>
            <w:r w:rsidR="00BF78E8">
              <w:t xml:space="preserve"> Secured 20 slots for students to work in China and are hoping to move those to internships.</w:t>
            </w:r>
          </w:p>
        </w:tc>
      </w:tr>
      <w:tr w:rsidR="00141AD4" w:rsidRPr="00F36B73" w:rsidTr="00141AD4">
        <w:trPr>
          <w:trHeight w:val="315"/>
        </w:trPr>
        <w:tc>
          <w:tcPr>
            <w:tcW w:w="4397" w:type="dxa"/>
            <w:noWrap/>
            <w:hideMark/>
          </w:tcPr>
          <w:p w:rsidR="00141AD4" w:rsidRPr="00F36B73" w:rsidRDefault="00141AD4">
            <w:r w:rsidRPr="00F36B73">
              <w:t>Global Learning Classroom(s)</w:t>
            </w:r>
          </w:p>
        </w:tc>
        <w:tc>
          <w:tcPr>
            <w:tcW w:w="1556" w:type="dxa"/>
            <w:noWrap/>
            <w:hideMark/>
          </w:tcPr>
          <w:p w:rsidR="00141AD4" w:rsidRPr="00F36B73" w:rsidRDefault="00141AD4" w:rsidP="00F36B73">
            <w:r w:rsidRPr="00F36B73">
              <w:t>II.3.1.1c</w:t>
            </w:r>
          </w:p>
        </w:tc>
        <w:tc>
          <w:tcPr>
            <w:tcW w:w="2119" w:type="dxa"/>
            <w:noWrap/>
            <w:hideMark/>
          </w:tcPr>
          <w:p w:rsidR="00141AD4" w:rsidRPr="00F36B73" w:rsidRDefault="00141AD4">
            <w:r w:rsidRPr="00F36B73">
              <w:t>Fall, 2013</w:t>
            </w:r>
          </w:p>
        </w:tc>
        <w:tc>
          <w:tcPr>
            <w:tcW w:w="2239" w:type="dxa"/>
            <w:noWrap/>
            <w:hideMark/>
          </w:tcPr>
          <w:p w:rsidR="00141AD4" w:rsidRDefault="00141AD4">
            <w:r w:rsidRPr="00F36B73">
              <w:t xml:space="preserve">Provost, VP IEL, </w:t>
            </w:r>
          </w:p>
          <w:p w:rsidR="00141AD4" w:rsidRPr="00F36B73" w:rsidRDefault="00141AD4">
            <w:r>
              <w:t xml:space="preserve">Director of </w:t>
            </w:r>
            <w:r w:rsidRPr="00F36B73">
              <w:t>International Relations</w:t>
            </w:r>
          </w:p>
        </w:tc>
        <w:tc>
          <w:tcPr>
            <w:tcW w:w="2239" w:type="dxa"/>
          </w:tcPr>
          <w:p w:rsidR="00141AD4" w:rsidRPr="00F36B73" w:rsidRDefault="00A666CC">
            <w:r>
              <w:t>Installed fall 2013 and is operational.</w:t>
            </w:r>
            <w:r w:rsidR="00BF78E8">
              <w:t xml:space="preserve">  Pursuing grant with Tribal Consortium partners for securing same at tribal college sites.</w:t>
            </w:r>
          </w:p>
        </w:tc>
      </w:tr>
      <w:tr w:rsidR="00141AD4" w:rsidRPr="00F36B73" w:rsidTr="00141AD4">
        <w:trPr>
          <w:trHeight w:val="315"/>
        </w:trPr>
        <w:tc>
          <w:tcPr>
            <w:tcW w:w="4397" w:type="dxa"/>
            <w:noWrap/>
            <w:hideMark/>
          </w:tcPr>
          <w:p w:rsidR="00141AD4" w:rsidRPr="00F36B73" w:rsidRDefault="00141AD4">
            <w:r w:rsidRPr="00F36B73">
              <w:t>Administrator Evaluation Process</w:t>
            </w:r>
          </w:p>
        </w:tc>
        <w:tc>
          <w:tcPr>
            <w:tcW w:w="1556" w:type="dxa"/>
            <w:noWrap/>
            <w:hideMark/>
          </w:tcPr>
          <w:p w:rsidR="00141AD4" w:rsidRPr="00F36B73" w:rsidRDefault="00141AD4" w:rsidP="00F36B73">
            <w:r w:rsidRPr="00F36B73">
              <w:t>II.4.8</w:t>
            </w:r>
          </w:p>
        </w:tc>
        <w:tc>
          <w:tcPr>
            <w:tcW w:w="2119" w:type="dxa"/>
            <w:noWrap/>
            <w:hideMark/>
          </w:tcPr>
          <w:p w:rsidR="00141AD4" w:rsidRPr="00F36B73" w:rsidRDefault="00141AD4">
            <w:r w:rsidRPr="00F36B73">
              <w:t>Fall, 2013</w:t>
            </w:r>
          </w:p>
        </w:tc>
        <w:tc>
          <w:tcPr>
            <w:tcW w:w="2239" w:type="dxa"/>
            <w:noWrap/>
            <w:hideMark/>
          </w:tcPr>
          <w:p w:rsidR="00141AD4" w:rsidRPr="00F36B73" w:rsidRDefault="00141AD4">
            <w:r w:rsidRPr="00F36B73">
              <w:t>Deans' Council, Provost</w:t>
            </w:r>
          </w:p>
        </w:tc>
        <w:tc>
          <w:tcPr>
            <w:tcW w:w="2239" w:type="dxa"/>
          </w:tcPr>
          <w:p w:rsidR="00141AD4" w:rsidRPr="00F36B73" w:rsidRDefault="00A666CC" w:rsidP="00BF78E8">
            <w:r>
              <w:t>Updating in progress to modify from spring 2013.</w:t>
            </w:r>
            <w:r w:rsidR="009800CC">
              <w:t xml:space="preserve">  </w:t>
            </w:r>
            <w:r w:rsidR="0080778B">
              <w:t>Leadership survey which will be used to develop new evaluative survey</w:t>
            </w:r>
            <w:r w:rsidR="00BF78E8">
              <w:t xml:space="preserve"> has been distributed</w:t>
            </w:r>
            <w:r w:rsidR="009800CC">
              <w:t>.</w:t>
            </w:r>
          </w:p>
        </w:tc>
      </w:tr>
      <w:tr w:rsidR="00141AD4" w:rsidRPr="00F36B73" w:rsidTr="00141AD4">
        <w:trPr>
          <w:trHeight w:val="315"/>
        </w:trPr>
        <w:tc>
          <w:tcPr>
            <w:tcW w:w="4397" w:type="dxa"/>
            <w:noWrap/>
            <w:hideMark/>
          </w:tcPr>
          <w:p w:rsidR="00141AD4" w:rsidRPr="00F36B73" w:rsidRDefault="00141AD4">
            <w:r w:rsidRPr="00F36B73">
              <w:t>Move beyond NTC/BSU alignment</w:t>
            </w:r>
          </w:p>
        </w:tc>
        <w:tc>
          <w:tcPr>
            <w:tcW w:w="1556" w:type="dxa"/>
            <w:noWrap/>
            <w:hideMark/>
          </w:tcPr>
          <w:p w:rsidR="00141AD4" w:rsidRPr="00F36B73" w:rsidRDefault="00141AD4" w:rsidP="00F36B73">
            <w:r w:rsidRPr="00F36B73">
              <w:t>II.4.11</w:t>
            </w:r>
          </w:p>
        </w:tc>
        <w:tc>
          <w:tcPr>
            <w:tcW w:w="2119" w:type="dxa"/>
            <w:noWrap/>
            <w:hideMark/>
          </w:tcPr>
          <w:p w:rsidR="00141AD4" w:rsidRPr="00F36B73" w:rsidRDefault="00141AD4">
            <w:r w:rsidRPr="00F36B73">
              <w:t>Fall, 2013</w:t>
            </w:r>
          </w:p>
        </w:tc>
        <w:tc>
          <w:tcPr>
            <w:tcW w:w="2239" w:type="dxa"/>
            <w:noWrap/>
            <w:hideMark/>
          </w:tcPr>
          <w:p w:rsidR="00141AD4" w:rsidRPr="00F36B73" w:rsidRDefault="00F42A62">
            <w:r>
              <w:t>Reinvention task force.</w:t>
            </w:r>
          </w:p>
        </w:tc>
        <w:tc>
          <w:tcPr>
            <w:tcW w:w="2239" w:type="dxa"/>
          </w:tcPr>
          <w:p w:rsidR="00141AD4" w:rsidRPr="00F36B73" w:rsidRDefault="00F42A62" w:rsidP="00F42A62">
            <w:r>
              <w:t>Reinvention taskforce appointed with April deadline to submit a reinvention plan for NTC.</w:t>
            </w:r>
            <w:r w:rsidR="009800CC">
              <w:t xml:space="preserve">  </w:t>
            </w:r>
          </w:p>
        </w:tc>
      </w:tr>
      <w:tr w:rsidR="00141AD4" w:rsidRPr="00F36B73" w:rsidTr="00141AD4">
        <w:trPr>
          <w:trHeight w:val="315"/>
        </w:trPr>
        <w:tc>
          <w:tcPr>
            <w:tcW w:w="4397" w:type="dxa"/>
            <w:noWrap/>
            <w:hideMark/>
          </w:tcPr>
          <w:p w:rsidR="00141AD4" w:rsidRPr="00F36B73" w:rsidRDefault="00141AD4">
            <w:r w:rsidRPr="00F36B73">
              <w:t>Assessment of Student Learning</w:t>
            </w:r>
          </w:p>
        </w:tc>
        <w:tc>
          <w:tcPr>
            <w:tcW w:w="1556" w:type="dxa"/>
            <w:noWrap/>
            <w:hideMark/>
          </w:tcPr>
          <w:p w:rsidR="00141AD4" w:rsidRPr="00F36B73" w:rsidRDefault="00141AD4" w:rsidP="00F36B73">
            <w:r w:rsidRPr="00F36B73">
              <w:t>II.2.5.1</w:t>
            </w:r>
          </w:p>
        </w:tc>
        <w:tc>
          <w:tcPr>
            <w:tcW w:w="2119" w:type="dxa"/>
            <w:noWrap/>
            <w:hideMark/>
          </w:tcPr>
          <w:p w:rsidR="00141AD4" w:rsidRPr="00F36B73" w:rsidRDefault="00141AD4">
            <w:r w:rsidRPr="00F36B73">
              <w:t>Fall, 2013 and Ongoing</w:t>
            </w:r>
          </w:p>
        </w:tc>
        <w:tc>
          <w:tcPr>
            <w:tcW w:w="2239" w:type="dxa"/>
            <w:noWrap/>
            <w:hideMark/>
          </w:tcPr>
          <w:p w:rsidR="00141AD4" w:rsidRPr="00F36B73" w:rsidRDefault="00141AD4">
            <w:r w:rsidRPr="00F36B73">
              <w:t>Assoc. VP Acad. Affairs, Academic Assessment Committee</w:t>
            </w:r>
          </w:p>
        </w:tc>
        <w:tc>
          <w:tcPr>
            <w:tcW w:w="2239" w:type="dxa"/>
          </w:tcPr>
          <w:p w:rsidR="00141AD4" w:rsidRPr="00F36B73" w:rsidRDefault="00A666CC" w:rsidP="00BF78E8">
            <w:r>
              <w:t>In process.</w:t>
            </w:r>
            <w:r w:rsidR="00BF78E8">
              <w:t xml:space="preserve"> All departments but one current.</w:t>
            </w:r>
          </w:p>
        </w:tc>
      </w:tr>
      <w:tr w:rsidR="00141AD4" w:rsidRPr="00F36B73" w:rsidTr="00141AD4">
        <w:trPr>
          <w:trHeight w:val="315"/>
        </w:trPr>
        <w:tc>
          <w:tcPr>
            <w:tcW w:w="4397" w:type="dxa"/>
            <w:noWrap/>
            <w:hideMark/>
          </w:tcPr>
          <w:p w:rsidR="00141AD4" w:rsidRPr="00F36B73" w:rsidRDefault="00141AD4">
            <w:r w:rsidRPr="00F36B73">
              <w:lastRenderedPageBreak/>
              <w:t>Focus on Student Advising</w:t>
            </w:r>
          </w:p>
        </w:tc>
        <w:tc>
          <w:tcPr>
            <w:tcW w:w="1556" w:type="dxa"/>
            <w:noWrap/>
            <w:hideMark/>
          </w:tcPr>
          <w:p w:rsidR="00141AD4" w:rsidRPr="00F36B73" w:rsidRDefault="00141AD4" w:rsidP="00F36B73">
            <w:r w:rsidRPr="00F36B73">
              <w:t>II.2.5.2</w:t>
            </w:r>
          </w:p>
        </w:tc>
        <w:tc>
          <w:tcPr>
            <w:tcW w:w="2119" w:type="dxa"/>
            <w:noWrap/>
            <w:hideMark/>
          </w:tcPr>
          <w:p w:rsidR="00141AD4" w:rsidRPr="00F36B73" w:rsidRDefault="00141AD4">
            <w:r w:rsidRPr="00F36B73">
              <w:t>Fall, 2013 and Ongoing</w:t>
            </w:r>
          </w:p>
        </w:tc>
        <w:tc>
          <w:tcPr>
            <w:tcW w:w="2239" w:type="dxa"/>
            <w:noWrap/>
            <w:hideMark/>
          </w:tcPr>
          <w:p w:rsidR="00141AD4" w:rsidRPr="00F36B73" w:rsidRDefault="00141AD4">
            <w:r w:rsidRPr="00F36B73">
              <w:t>Deans' Council, VP SDE</w:t>
            </w:r>
          </w:p>
        </w:tc>
        <w:tc>
          <w:tcPr>
            <w:tcW w:w="2239" w:type="dxa"/>
          </w:tcPr>
          <w:p w:rsidR="00141AD4" w:rsidRPr="00F36B73" w:rsidRDefault="00141AD4" w:rsidP="0080778B">
            <w:r>
              <w:t>To be addressed.</w:t>
            </w:r>
            <w:r w:rsidR="00A666CC">
              <w:t xml:space="preserve">  Initial </w:t>
            </w:r>
            <w:proofErr w:type="gramStart"/>
            <w:r w:rsidR="00A666CC">
              <w:t>conversation between AA and SDE have</w:t>
            </w:r>
            <w:proofErr w:type="gramEnd"/>
            <w:r w:rsidR="00A666CC">
              <w:t xml:space="preserve"> occurred.</w:t>
            </w:r>
            <w:r w:rsidR="009800CC">
              <w:t xml:space="preserve"> </w:t>
            </w:r>
            <w:r w:rsidR="00F42A62">
              <w:t>We are looking at what other universities ha</w:t>
            </w:r>
            <w:r w:rsidR="0080778B">
              <w:t>ve done to connect advising to</w:t>
            </w:r>
            <w:r w:rsidR="00F42A62">
              <w:t xml:space="preserve"> the improvement of student retention.</w:t>
            </w:r>
            <w:r w:rsidR="00BF78E8">
              <w:t xml:space="preserve"> Have pushed for use of EARS among faculty.</w:t>
            </w:r>
          </w:p>
        </w:tc>
      </w:tr>
      <w:tr w:rsidR="00141AD4" w:rsidRPr="00F36B73" w:rsidTr="00141AD4">
        <w:trPr>
          <w:trHeight w:val="315"/>
        </w:trPr>
        <w:tc>
          <w:tcPr>
            <w:tcW w:w="4397" w:type="dxa"/>
            <w:noWrap/>
            <w:hideMark/>
          </w:tcPr>
          <w:p w:rsidR="00141AD4" w:rsidRPr="00F36B73" w:rsidRDefault="00141AD4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Interdisciplinarity in faculty searches</w:t>
            </w:r>
          </w:p>
        </w:tc>
        <w:tc>
          <w:tcPr>
            <w:tcW w:w="1556" w:type="dxa"/>
            <w:noWrap/>
            <w:hideMark/>
          </w:tcPr>
          <w:p w:rsidR="00141AD4" w:rsidRPr="00F36B73" w:rsidRDefault="00141AD4" w:rsidP="00F36B7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II.2.3.8</w:t>
            </w:r>
          </w:p>
        </w:tc>
        <w:tc>
          <w:tcPr>
            <w:tcW w:w="2119" w:type="dxa"/>
            <w:noWrap/>
            <w:hideMark/>
          </w:tcPr>
          <w:p w:rsidR="00141AD4" w:rsidRPr="00F36B73" w:rsidRDefault="00141AD4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Fall, 2014 and Ongoing</w:t>
            </w:r>
          </w:p>
        </w:tc>
        <w:tc>
          <w:tcPr>
            <w:tcW w:w="2239" w:type="dxa"/>
            <w:noWrap/>
            <w:hideMark/>
          </w:tcPr>
          <w:p w:rsidR="00141AD4" w:rsidRPr="00F36B73" w:rsidRDefault="00141AD4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Deans' Council</w:t>
            </w:r>
          </w:p>
        </w:tc>
        <w:tc>
          <w:tcPr>
            <w:tcW w:w="2239" w:type="dxa"/>
          </w:tcPr>
          <w:p w:rsidR="00141AD4" w:rsidRPr="00F36B73" w:rsidRDefault="00A666CC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All PD’s are being reviewed for this.</w:t>
            </w:r>
            <w:r w:rsidR="009800CC">
              <w:rPr>
                <w:rFonts w:eastAsia="Times New Roman" w:cs="Times New Roman"/>
                <w:color w:val="000000"/>
                <w:szCs w:val="24"/>
              </w:rPr>
              <w:t xml:space="preserve"> Departments are encouraged to consider creation of interdisciplinary positions and programs.</w:t>
            </w:r>
            <w:r w:rsidR="00BF78E8">
              <w:rPr>
                <w:rFonts w:eastAsia="Times New Roman" w:cs="Times New Roman"/>
                <w:color w:val="000000"/>
                <w:szCs w:val="24"/>
              </w:rPr>
              <w:t xml:space="preserve"> Developing a written statement for campus regarding course prefixes and funding.</w:t>
            </w:r>
          </w:p>
        </w:tc>
      </w:tr>
      <w:tr w:rsidR="00141AD4" w:rsidRPr="00F36B73" w:rsidTr="00141AD4">
        <w:trPr>
          <w:trHeight w:val="315"/>
        </w:trPr>
        <w:tc>
          <w:tcPr>
            <w:tcW w:w="4397" w:type="dxa"/>
            <w:noWrap/>
            <w:hideMark/>
          </w:tcPr>
          <w:p w:rsidR="00141AD4" w:rsidRPr="00F36B73" w:rsidRDefault="00141AD4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Curriculum interdisciplinarity</w:t>
            </w:r>
          </w:p>
        </w:tc>
        <w:tc>
          <w:tcPr>
            <w:tcW w:w="1556" w:type="dxa"/>
            <w:noWrap/>
            <w:hideMark/>
          </w:tcPr>
          <w:p w:rsidR="00141AD4" w:rsidRPr="00F36B73" w:rsidRDefault="00141AD4" w:rsidP="00F36B7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II.2.3.8</w:t>
            </w:r>
          </w:p>
        </w:tc>
        <w:tc>
          <w:tcPr>
            <w:tcW w:w="2119" w:type="dxa"/>
            <w:noWrap/>
            <w:hideMark/>
          </w:tcPr>
          <w:p w:rsidR="00141AD4" w:rsidRPr="00F36B73" w:rsidRDefault="00141AD4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Fall, 2014 and Ongoing</w:t>
            </w:r>
          </w:p>
        </w:tc>
        <w:tc>
          <w:tcPr>
            <w:tcW w:w="2239" w:type="dxa"/>
            <w:noWrap/>
            <w:hideMark/>
          </w:tcPr>
          <w:p w:rsidR="00141AD4" w:rsidRPr="00F36B73" w:rsidRDefault="00141AD4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Deans' Council, Curriculum Committe</w:t>
            </w:r>
            <w:r>
              <w:rPr>
                <w:rFonts w:eastAsia="Times New Roman" w:cs="Times New Roman"/>
                <w:color w:val="000000"/>
                <w:szCs w:val="24"/>
              </w:rPr>
              <w:t>e</w:t>
            </w:r>
            <w:r w:rsidRPr="00F36B73">
              <w:rPr>
                <w:rFonts w:eastAsia="Times New Roman" w:cs="Times New Roman"/>
                <w:color w:val="000000"/>
                <w:szCs w:val="24"/>
              </w:rPr>
              <w:t>, Faculty Senate</w:t>
            </w:r>
          </w:p>
        </w:tc>
        <w:tc>
          <w:tcPr>
            <w:tcW w:w="2239" w:type="dxa"/>
          </w:tcPr>
          <w:p w:rsidR="00141AD4" w:rsidRPr="00F36B73" w:rsidRDefault="00A666CC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Renewed course redesign grant w</w:t>
            </w:r>
            <w:r w:rsidR="009800CC">
              <w:rPr>
                <w:rFonts w:eastAsia="Times New Roman" w:cs="Times New Roman"/>
                <w:color w:val="000000"/>
                <w:szCs w:val="24"/>
              </w:rPr>
              <w:t>ith emphasis placed on interdis</w:t>
            </w:r>
            <w:r>
              <w:rPr>
                <w:rFonts w:eastAsia="Times New Roman" w:cs="Times New Roman"/>
                <w:color w:val="000000"/>
                <w:szCs w:val="24"/>
              </w:rPr>
              <w:t>ciplinarity.</w:t>
            </w:r>
            <w:r w:rsidR="009800CC">
              <w:rPr>
                <w:rFonts w:eastAsia="Times New Roman" w:cs="Times New Roman"/>
                <w:color w:val="000000"/>
                <w:szCs w:val="24"/>
              </w:rPr>
              <w:t xml:space="preserve">  Funds are available for course redesign around this topic.  Liberal education committee charge</w:t>
            </w:r>
            <w:r w:rsidR="00F42A62">
              <w:rPr>
                <w:rFonts w:eastAsia="Times New Roman" w:cs="Times New Roman"/>
                <w:color w:val="000000"/>
                <w:szCs w:val="24"/>
              </w:rPr>
              <w:t xml:space="preserve"> to create distinctiveness</w:t>
            </w:r>
            <w:r w:rsidR="009800CC">
              <w:rPr>
                <w:rFonts w:eastAsia="Times New Roman" w:cs="Times New Roman"/>
                <w:color w:val="000000"/>
                <w:szCs w:val="24"/>
              </w:rPr>
              <w:t xml:space="preserve"> could also impact thinking in </w:t>
            </w:r>
            <w:r w:rsidR="009800CC">
              <w:rPr>
                <w:rFonts w:eastAsia="Times New Roman" w:cs="Times New Roman"/>
                <w:color w:val="000000"/>
                <w:szCs w:val="24"/>
              </w:rPr>
              <w:lastRenderedPageBreak/>
              <w:t>this area.</w:t>
            </w:r>
          </w:p>
        </w:tc>
      </w:tr>
      <w:tr w:rsidR="00141AD4" w:rsidRPr="00F36B73" w:rsidTr="00141AD4">
        <w:trPr>
          <w:trHeight w:val="315"/>
        </w:trPr>
        <w:tc>
          <w:tcPr>
            <w:tcW w:w="4397" w:type="dxa"/>
            <w:noWrap/>
            <w:hideMark/>
          </w:tcPr>
          <w:p w:rsidR="00141AD4" w:rsidRPr="00F36B73" w:rsidRDefault="00141AD4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lastRenderedPageBreak/>
              <w:t>Dual Enrollment for International Students</w:t>
            </w:r>
          </w:p>
        </w:tc>
        <w:tc>
          <w:tcPr>
            <w:tcW w:w="1556" w:type="dxa"/>
            <w:noWrap/>
            <w:hideMark/>
          </w:tcPr>
          <w:p w:rsidR="00141AD4" w:rsidRPr="00F36B73" w:rsidRDefault="00141AD4" w:rsidP="00F36B7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II.3.1.3</w:t>
            </w:r>
          </w:p>
        </w:tc>
        <w:tc>
          <w:tcPr>
            <w:tcW w:w="2119" w:type="dxa"/>
            <w:noWrap/>
            <w:hideMark/>
          </w:tcPr>
          <w:p w:rsidR="00141AD4" w:rsidRPr="00F36B73" w:rsidRDefault="00141AD4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Fall, 2014 and Ongoing</w:t>
            </w:r>
          </w:p>
        </w:tc>
        <w:tc>
          <w:tcPr>
            <w:tcW w:w="2239" w:type="dxa"/>
            <w:noWrap/>
            <w:hideMark/>
          </w:tcPr>
          <w:p w:rsidR="00141AD4" w:rsidRPr="00F36B73" w:rsidRDefault="00141AD4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Academic Affairs, Admissions, Records, Provost, Director of International Relations</w:t>
            </w:r>
          </w:p>
        </w:tc>
        <w:tc>
          <w:tcPr>
            <w:tcW w:w="2239" w:type="dxa"/>
          </w:tcPr>
          <w:p w:rsidR="00141AD4" w:rsidRPr="00F36B73" w:rsidRDefault="00A666CC" w:rsidP="00BF78E8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Working with AASCU/CEAIE staff on 1-2-1 programming.  </w:t>
            </w:r>
            <w:r w:rsidR="00BF78E8">
              <w:rPr>
                <w:rFonts w:eastAsia="Times New Roman" w:cs="Times New Roman"/>
                <w:color w:val="000000"/>
                <w:szCs w:val="24"/>
              </w:rPr>
              <w:t>Signed</w:t>
            </w:r>
            <w:r w:rsidR="00F42A62">
              <w:rPr>
                <w:rFonts w:eastAsia="Times New Roman" w:cs="Times New Roman"/>
                <w:color w:val="000000"/>
                <w:szCs w:val="24"/>
              </w:rPr>
              <w:t xml:space="preserve"> agreement with WSU to create an Intensive English Center at BSU</w:t>
            </w:r>
            <w:r w:rsidR="00BF78E8">
              <w:rPr>
                <w:rFonts w:eastAsia="Times New Roman" w:cs="Times New Roman"/>
                <w:color w:val="000000"/>
                <w:szCs w:val="24"/>
              </w:rPr>
              <w:t xml:space="preserve"> that will open in July 2014</w:t>
            </w:r>
            <w:r w:rsidR="00F42A62">
              <w:rPr>
                <w:rFonts w:eastAsia="Times New Roman" w:cs="Times New Roman"/>
                <w:color w:val="000000"/>
                <w:szCs w:val="24"/>
              </w:rPr>
              <w:t xml:space="preserve">. </w:t>
            </w:r>
            <w:r>
              <w:rPr>
                <w:rFonts w:eastAsia="Times New Roman" w:cs="Times New Roman"/>
                <w:color w:val="000000"/>
                <w:szCs w:val="24"/>
              </w:rPr>
              <w:t>Virgil Bakken gathering departmental interest</w:t>
            </w:r>
            <w:r w:rsidR="00F42A62">
              <w:rPr>
                <w:rFonts w:eastAsia="Times New Roman" w:cs="Times New Roman"/>
                <w:color w:val="000000"/>
                <w:szCs w:val="24"/>
              </w:rPr>
              <w:t xml:space="preserve"> in participating in 1-2-1 programming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.  </w:t>
            </w:r>
          </w:p>
        </w:tc>
      </w:tr>
      <w:tr w:rsidR="00141AD4" w:rsidRPr="00F36B73" w:rsidTr="00141AD4">
        <w:trPr>
          <w:trHeight w:val="315"/>
        </w:trPr>
        <w:tc>
          <w:tcPr>
            <w:tcW w:w="4397" w:type="dxa"/>
            <w:noWrap/>
            <w:hideMark/>
          </w:tcPr>
          <w:p w:rsidR="00141AD4" w:rsidRPr="00F36B73" w:rsidRDefault="00141AD4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Distinctive Liberal Education Experience</w:t>
            </w:r>
          </w:p>
        </w:tc>
        <w:tc>
          <w:tcPr>
            <w:tcW w:w="1556" w:type="dxa"/>
            <w:noWrap/>
            <w:hideMark/>
          </w:tcPr>
          <w:p w:rsidR="00141AD4" w:rsidRPr="00F36B73" w:rsidRDefault="00141AD4" w:rsidP="00F36B7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II.2.3.1</w:t>
            </w:r>
          </w:p>
        </w:tc>
        <w:tc>
          <w:tcPr>
            <w:tcW w:w="2119" w:type="dxa"/>
            <w:noWrap/>
            <w:hideMark/>
          </w:tcPr>
          <w:p w:rsidR="00141AD4" w:rsidRPr="00F36B73" w:rsidRDefault="00141AD4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Fall, 2015 and Ongoing</w:t>
            </w:r>
          </w:p>
        </w:tc>
        <w:tc>
          <w:tcPr>
            <w:tcW w:w="2239" w:type="dxa"/>
            <w:noWrap/>
            <w:hideMark/>
          </w:tcPr>
          <w:p w:rsidR="00141AD4" w:rsidRPr="00F36B73" w:rsidRDefault="00141AD4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Liberal Education Committe</w:t>
            </w:r>
            <w:r>
              <w:rPr>
                <w:rFonts w:eastAsia="Times New Roman" w:cs="Times New Roman"/>
                <w:color w:val="000000"/>
                <w:szCs w:val="24"/>
              </w:rPr>
              <w:t>e</w:t>
            </w:r>
            <w:r w:rsidRPr="00F36B73">
              <w:rPr>
                <w:rFonts w:eastAsia="Times New Roman" w:cs="Times New Roman"/>
                <w:color w:val="000000"/>
                <w:szCs w:val="24"/>
              </w:rPr>
              <w:t>, Deans' Council</w:t>
            </w:r>
          </w:p>
        </w:tc>
        <w:tc>
          <w:tcPr>
            <w:tcW w:w="2239" w:type="dxa"/>
          </w:tcPr>
          <w:p w:rsidR="00141AD4" w:rsidRPr="00F36B73" w:rsidRDefault="00CA2006" w:rsidP="009800CC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Liberal education committee meetings are in progress.  Draft process has been distributed.  Work will continue this spring.</w:t>
            </w:r>
          </w:p>
        </w:tc>
      </w:tr>
      <w:tr w:rsidR="00141AD4" w:rsidRPr="00F36B73" w:rsidTr="00141AD4">
        <w:trPr>
          <w:trHeight w:val="315"/>
        </w:trPr>
        <w:tc>
          <w:tcPr>
            <w:tcW w:w="4397" w:type="dxa"/>
            <w:noWrap/>
            <w:hideMark/>
          </w:tcPr>
          <w:p w:rsidR="00141AD4" w:rsidRPr="00F36B73" w:rsidRDefault="00141AD4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Communication across the curriculum</w:t>
            </w:r>
          </w:p>
        </w:tc>
        <w:tc>
          <w:tcPr>
            <w:tcW w:w="1556" w:type="dxa"/>
            <w:noWrap/>
            <w:hideMark/>
          </w:tcPr>
          <w:p w:rsidR="00141AD4" w:rsidRPr="00F36B73" w:rsidRDefault="00141AD4" w:rsidP="00F36B7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II.2.3.3</w:t>
            </w:r>
          </w:p>
        </w:tc>
        <w:tc>
          <w:tcPr>
            <w:tcW w:w="2119" w:type="dxa"/>
            <w:noWrap/>
            <w:hideMark/>
          </w:tcPr>
          <w:p w:rsidR="00141AD4" w:rsidRPr="00F36B73" w:rsidRDefault="00141AD4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Fall, 2015 and Ongoing</w:t>
            </w:r>
          </w:p>
        </w:tc>
        <w:tc>
          <w:tcPr>
            <w:tcW w:w="2239" w:type="dxa"/>
            <w:noWrap/>
            <w:hideMark/>
          </w:tcPr>
          <w:p w:rsidR="00141AD4" w:rsidRPr="00F36B73" w:rsidRDefault="00141AD4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Liberal Education Committe</w:t>
            </w:r>
            <w:r>
              <w:rPr>
                <w:rFonts w:eastAsia="Times New Roman" w:cs="Times New Roman"/>
                <w:color w:val="000000"/>
                <w:szCs w:val="24"/>
              </w:rPr>
              <w:t>e</w:t>
            </w:r>
            <w:r w:rsidRPr="00F36B73">
              <w:rPr>
                <w:rFonts w:eastAsia="Times New Roman" w:cs="Times New Roman"/>
                <w:color w:val="000000"/>
                <w:szCs w:val="24"/>
              </w:rPr>
              <w:t>, Deans' Council</w:t>
            </w:r>
          </w:p>
        </w:tc>
        <w:tc>
          <w:tcPr>
            <w:tcW w:w="2239" w:type="dxa"/>
          </w:tcPr>
          <w:p w:rsidR="00141AD4" w:rsidRPr="00F36B73" w:rsidRDefault="00141AD4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To be addressed.</w:t>
            </w:r>
          </w:p>
        </w:tc>
      </w:tr>
      <w:tr w:rsidR="00141AD4" w:rsidRPr="00F36B73" w:rsidTr="00141AD4">
        <w:trPr>
          <w:trHeight w:val="315"/>
        </w:trPr>
        <w:tc>
          <w:tcPr>
            <w:tcW w:w="4397" w:type="dxa"/>
            <w:noWrap/>
            <w:hideMark/>
          </w:tcPr>
          <w:p w:rsidR="00141AD4" w:rsidRPr="00F36B73" w:rsidRDefault="00141AD4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Enhanced Summer Residential Experience</w:t>
            </w:r>
          </w:p>
        </w:tc>
        <w:tc>
          <w:tcPr>
            <w:tcW w:w="1556" w:type="dxa"/>
            <w:noWrap/>
            <w:hideMark/>
          </w:tcPr>
          <w:p w:rsidR="00141AD4" w:rsidRPr="00F36B73" w:rsidRDefault="00141AD4" w:rsidP="00F36B7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II.2.2.3</w:t>
            </w:r>
          </w:p>
        </w:tc>
        <w:tc>
          <w:tcPr>
            <w:tcW w:w="2119" w:type="dxa"/>
            <w:noWrap/>
            <w:hideMark/>
          </w:tcPr>
          <w:p w:rsidR="00141AD4" w:rsidRPr="00F36B73" w:rsidRDefault="00141AD4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Fall, 2017 and Ongoing</w:t>
            </w:r>
          </w:p>
        </w:tc>
        <w:tc>
          <w:tcPr>
            <w:tcW w:w="2239" w:type="dxa"/>
            <w:noWrap/>
            <w:hideMark/>
          </w:tcPr>
          <w:p w:rsidR="00141AD4" w:rsidRPr="00F36B73" w:rsidRDefault="00141AD4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Angie Gora</w:t>
            </w:r>
          </w:p>
        </w:tc>
        <w:tc>
          <w:tcPr>
            <w:tcW w:w="2239" w:type="dxa"/>
          </w:tcPr>
          <w:p w:rsidR="00141AD4" w:rsidRPr="00F36B73" w:rsidRDefault="00A666CC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Greatly increased summer camp and summer programming in 2013.  Expanding for summer 2014.</w:t>
            </w:r>
            <w:r w:rsidR="009800CC">
              <w:rPr>
                <w:rFonts w:eastAsia="Times New Roman" w:cs="Times New Roman"/>
                <w:color w:val="000000"/>
                <w:szCs w:val="24"/>
              </w:rPr>
              <w:t xml:space="preserve">  Summer schedules in place through 2018.</w:t>
            </w:r>
            <w:r w:rsidR="00F42A62">
              <w:rPr>
                <w:rFonts w:eastAsia="Times New Roman" w:cs="Times New Roman"/>
                <w:color w:val="000000"/>
                <w:szCs w:val="24"/>
              </w:rPr>
              <w:t xml:space="preserve">  Just linked to two universities in China wishing to send students and faculty to BSU for </w:t>
            </w:r>
            <w:r w:rsidR="00F42A62">
              <w:rPr>
                <w:rFonts w:eastAsia="Times New Roman" w:cs="Times New Roman"/>
                <w:color w:val="000000"/>
                <w:szCs w:val="24"/>
              </w:rPr>
              <w:lastRenderedPageBreak/>
              <w:t>summer workshops.</w:t>
            </w:r>
          </w:p>
        </w:tc>
      </w:tr>
      <w:tr w:rsidR="00141AD4" w:rsidRPr="00F36B73" w:rsidTr="00141AD4">
        <w:trPr>
          <w:trHeight w:val="315"/>
        </w:trPr>
        <w:tc>
          <w:tcPr>
            <w:tcW w:w="4397" w:type="dxa"/>
            <w:noWrap/>
            <w:hideMark/>
          </w:tcPr>
          <w:p w:rsidR="00141AD4" w:rsidRPr="00F36B73" w:rsidRDefault="00141AD4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lastRenderedPageBreak/>
              <w:t>Mission, Vision, Values, and Introduction</w:t>
            </w:r>
          </w:p>
        </w:tc>
        <w:tc>
          <w:tcPr>
            <w:tcW w:w="1556" w:type="dxa"/>
            <w:noWrap/>
            <w:hideMark/>
          </w:tcPr>
          <w:p w:rsidR="00141AD4" w:rsidRPr="00F36B73" w:rsidRDefault="00141AD4" w:rsidP="00F36B7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I, II</w:t>
            </w:r>
          </w:p>
        </w:tc>
        <w:tc>
          <w:tcPr>
            <w:tcW w:w="2119" w:type="dxa"/>
            <w:noWrap/>
            <w:hideMark/>
          </w:tcPr>
          <w:p w:rsidR="00141AD4" w:rsidRPr="00F36B73" w:rsidRDefault="00141AD4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Life of the Plan</w:t>
            </w:r>
          </w:p>
        </w:tc>
        <w:tc>
          <w:tcPr>
            <w:tcW w:w="2239" w:type="dxa"/>
            <w:noWrap/>
            <w:hideMark/>
          </w:tcPr>
          <w:p w:rsidR="00141AD4" w:rsidRPr="00F36B73" w:rsidRDefault="00141AD4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Deans' Council, Campus as a whole</w:t>
            </w:r>
          </w:p>
        </w:tc>
        <w:tc>
          <w:tcPr>
            <w:tcW w:w="2239" w:type="dxa"/>
          </w:tcPr>
          <w:p w:rsidR="00141AD4" w:rsidRPr="00F36B73" w:rsidRDefault="00BF78E8" w:rsidP="00BF78E8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Added</w:t>
            </w:r>
            <w:r w:rsidR="00A666CC">
              <w:rPr>
                <w:rFonts w:eastAsia="Times New Roman" w:cs="Times New Roman"/>
                <w:color w:val="000000"/>
                <w:szCs w:val="24"/>
              </w:rPr>
              <w:t xml:space="preserve"> mission, vision, values statements to all AA meeting agendas.  Posted same on AA website.</w:t>
            </w:r>
          </w:p>
        </w:tc>
      </w:tr>
      <w:tr w:rsidR="00141AD4" w:rsidRPr="00F36B73" w:rsidTr="00141AD4">
        <w:trPr>
          <w:trHeight w:val="315"/>
        </w:trPr>
        <w:tc>
          <w:tcPr>
            <w:tcW w:w="4397" w:type="dxa"/>
            <w:noWrap/>
            <w:hideMark/>
          </w:tcPr>
          <w:p w:rsidR="00141AD4" w:rsidRPr="00F36B73" w:rsidRDefault="00141AD4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Program review- financial sustainability indicators</w:t>
            </w:r>
          </w:p>
        </w:tc>
        <w:tc>
          <w:tcPr>
            <w:tcW w:w="1556" w:type="dxa"/>
            <w:noWrap/>
            <w:hideMark/>
          </w:tcPr>
          <w:p w:rsidR="00141AD4" w:rsidRPr="00F36B73" w:rsidRDefault="00141AD4" w:rsidP="00F36B7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II.1.1.4</w:t>
            </w:r>
          </w:p>
        </w:tc>
        <w:tc>
          <w:tcPr>
            <w:tcW w:w="2119" w:type="dxa"/>
            <w:noWrap/>
            <w:hideMark/>
          </w:tcPr>
          <w:p w:rsidR="00141AD4" w:rsidRPr="00F36B73" w:rsidRDefault="00141AD4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Ongoing</w:t>
            </w:r>
          </w:p>
        </w:tc>
        <w:tc>
          <w:tcPr>
            <w:tcW w:w="2239" w:type="dxa"/>
            <w:noWrap/>
            <w:hideMark/>
          </w:tcPr>
          <w:p w:rsidR="00141AD4" w:rsidRPr="00F36B73" w:rsidRDefault="00141AD4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Deans' Council</w:t>
            </w:r>
          </w:p>
        </w:tc>
        <w:tc>
          <w:tcPr>
            <w:tcW w:w="2239" w:type="dxa"/>
          </w:tcPr>
          <w:p w:rsidR="00141AD4" w:rsidRPr="00F36B73" w:rsidRDefault="00141AD4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Completed for fall 2013.</w:t>
            </w:r>
          </w:p>
        </w:tc>
      </w:tr>
      <w:tr w:rsidR="00141AD4" w:rsidRPr="00F36B73" w:rsidTr="00141AD4">
        <w:trPr>
          <w:trHeight w:val="315"/>
        </w:trPr>
        <w:tc>
          <w:tcPr>
            <w:tcW w:w="4397" w:type="dxa"/>
            <w:noWrap/>
            <w:hideMark/>
          </w:tcPr>
          <w:p w:rsidR="00141AD4" w:rsidRPr="00F36B73" w:rsidRDefault="00141AD4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Partnerships</w:t>
            </w:r>
          </w:p>
        </w:tc>
        <w:tc>
          <w:tcPr>
            <w:tcW w:w="1556" w:type="dxa"/>
            <w:noWrap/>
            <w:hideMark/>
          </w:tcPr>
          <w:p w:rsidR="00141AD4" w:rsidRPr="00F36B73" w:rsidRDefault="00141AD4" w:rsidP="00F36B7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II.1.2.3</w:t>
            </w:r>
          </w:p>
        </w:tc>
        <w:tc>
          <w:tcPr>
            <w:tcW w:w="2119" w:type="dxa"/>
            <w:noWrap/>
            <w:hideMark/>
          </w:tcPr>
          <w:p w:rsidR="00141AD4" w:rsidRPr="00F36B73" w:rsidRDefault="00141AD4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Ongoing</w:t>
            </w:r>
          </w:p>
        </w:tc>
        <w:tc>
          <w:tcPr>
            <w:tcW w:w="2239" w:type="dxa"/>
            <w:noWrap/>
            <w:hideMark/>
          </w:tcPr>
          <w:p w:rsidR="00141AD4" w:rsidRPr="00F36B73" w:rsidRDefault="00141AD4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Deans, VP IEL</w:t>
            </w:r>
          </w:p>
        </w:tc>
        <w:tc>
          <w:tcPr>
            <w:tcW w:w="2239" w:type="dxa"/>
          </w:tcPr>
          <w:p w:rsidR="00141AD4" w:rsidRDefault="00141AD4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Tribal consortium, </w:t>
            </w:r>
            <w:r w:rsidR="009A7160">
              <w:rPr>
                <w:rFonts w:eastAsia="Times New Roman" w:cs="Times New Roman"/>
                <w:color w:val="000000"/>
                <w:szCs w:val="24"/>
              </w:rPr>
              <w:t>NW consortium, Greater Bemidji, Bemidji LEADS, Bemidji Roadmap,</w:t>
            </w:r>
            <w:r w:rsidR="00BF78E8">
              <w:rPr>
                <w:rFonts w:eastAsia="Times New Roman" w:cs="Times New Roman"/>
                <w:color w:val="000000"/>
                <w:szCs w:val="24"/>
              </w:rPr>
              <w:t xml:space="preserve"> Watermark Art Center,</w:t>
            </w:r>
            <w:r w:rsidR="009A7160">
              <w:rPr>
                <w:rFonts w:eastAsia="Times New Roman" w:cs="Times New Roman"/>
                <w:color w:val="000000"/>
                <w:szCs w:val="24"/>
              </w:rPr>
              <w:t xml:space="preserve"> CIBT partnership universities, AASCU/CEAIE</w:t>
            </w:r>
            <w:r w:rsidR="00A666CC">
              <w:rPr>
                <w:rFonts w:eastAsia="Times New Roman" w:cs="Times New Roman"/>
                <w:color w:val="000000"/>
                <w:szCs w:val="24"/>
              </w:rPr>
              <w:t xml:space="preserve"> all active and we are represented at all.</w:t>
            </w:r>
            <w:r w:rsidR="00CA2006">
              <w:rPr>
                <w:rFonts w:eastAsia="Times New Roman" w:cs="Times New Roman"/>
                <w:color w:val="000000"/>
                <w:szCs w:val="24"/>
              </w:rPr>
              <w:t xml:space="preserve">  Received $500K grant to link tribal colleges and BSU together using audio/videoconferencing high </w:t>
            </w:r>
            <w:proofErr w:type="spellStart"/>
            <w:r w:rsidR="00CA2006">
              <w:rPr>
                <w:rFonts w:eastAsia="Times New Roman" w:cs="Times New Roman"/>
                <w:color w:val="000000"/>
                <w:szCs w:val="24"/>
              </w:rPr>
              <w:t>def</w:t>
            </w:r>
            <w:proofErr w:type="spellEnd"/>
            <w:r w:rsidR="00CA2006">
              <w:rPr>
                <w:rFonts w:eastAsia="Times New Roman" w:cs="Times New Roman"/>
                <w:color w:val="000000"/>
                <w:szCs w:val="24"/>
              </w:rPr>
              <w:t xml:space="preserve"> web-based technology.</w:t>
            </w:r>
          </w:p>
          <w:p w:rsidR="009A7160" w:rsidRDefault="009A7160" w:rsidP="00F36B73">
            <w:pPr>
              <w:rPr>
                <w:rFonts w:eastAsia="Times New Roman" w:cs="Times New Roman"/>
                <w:color w:val="000000"/>
                <w:szCs w:val="24"/>
              </w:rPr>
            </w:pPr>
          </w:p>
          <w:p w:rsidR="009A7160" w:rsidRPr="00F36B73" w:rsidRDefault="009A7160" w:rsidP="00F36B7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41AD4" w:rsidRPr="00F36B73" w:rsidTr="00141AD4">
        <w:trPr>
          <w:trHeight w:val="315"/>
        </w:trPr>
        <w:tc>
          <w:tcPr>
            <w:tcW w:w="4397" w:type="dxa"/>
            <w:noWrap/>
            <w:hideMark/>
          </w:tcPr>
          <w:p w:rsidR="00141AD4" w:rsidRPr="00F36B73" w:rsidRDefault="00141AD4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Recognize exemplary service</w:t>
            </w:r>
          </w:p>
        </w:tc>
        <w:tc>
          <w:tcPr>
            <w:tcW w:w="1556" w:type="dxa"/>
            <w:noWrap/>
            <w:hideMark/>
          </w:tcPr>
          <w:p w:rsidR="00141AD4" w:rsidRPr="00F36B73" w:rsidRDefault="00141AD4" w:rsidP="00F36B7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II.1.4.2</w:t>
            </w:r>
          </w:p>
        </w:tc>
        <w:tc>
          <w:tcPr>
            <w:tcW w:w="2119" w:type="dxa"/>
            <w:noWrap/>
            <w:hideMark/>
          </w:tcPr>
          <w:p w:rsidR="00141AD4" w:rsidRPr="00F36B73" w:rsidRDefault="00141AD4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Ongoing</w:t>
            </w:r>
          </w:p>
        </w:tc>
        <w:tc>
          <w:tcPr>
            <w:tcW w:w="2239" w:type="dxa"/>
            <w:noWrap/>
            <w:hideMark/>
          </w:tcPr>
          <w:p w:rsidR="00141AD4" w:rsidRPr="00F36B73" w:rsidRDefault="00141AD4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Deans' Council, Cabinet</w:t>
            </w:r>
          </w:p>
        </w:tc>
        <w:tc>
          <w:tcPr>
            <w:tcW w:w="2239" w:type="dxa"/>
          </w:tcPr>
          <w:p w:rsidR="00141AD4" w:rsidRPr="00F36B73" w:rsidRDefault="00A666CC" w:rsidP="00CA2006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Planning for this i</w:t>
            </w:r>
            <w:r w:rsidR="009A7160">
              <w:rPr>
                <w:rFonts w:eastAsia="Times New Roman" w:cs="Times New Roman"/>
                <w:color w:val="000000"/>
                <w:szCs w:val="24"/>
              </w:rPr>
              <w:t>n process.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="00F42A62">
              <w:rPr>
                <w:rFonts w:eastAsia="Times New Roman" w:cs="Times New Roman"/>
                <w:color w:val="000000"/>
                <w:szCs w:val="24"/>
              </w:rPr>
              <w:t xml:space="preserve">Will be on </w:t>
            </w:r>
            <w:r w:rsidR="0080778B">
              <w:rPr>
                <w:rFonts w:eastAsia="Times New Roman" w:cs="Times New Roman"/>
                <w:color w:val="000000"/>
                <w:szCs w:val="24"/>
              </w:rPr>
              <w:t>deans’</w:t>
            </w:r>
            <w:r w:rsidR="00F42A62">
              <w:rPr>
                <w:rFonts w:eastAsia="Times New Roman" w:cs="Times New Roman"/>
                <w:color w:val="000000"/>
                <w:szCs w:val="24"/>
              </w:rPr>
              <w:t xml:space="preserve"> council agenda in </w:t>
            </w:r>
            <w:r w:rsidR="00CA2006">
              <w:rPr>
                <w:rFonts w:eastAsia="Times New Roman" w:cs="Times New Roman"/>
                <w:color w:val="000000"/>
                <w:szCs w:val="24"/>
              </w:rPr>
              <w:t>March.  Suggesting alumni hall of fame or similar.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</w:p>
        </w:tc>
      </w:tr>
      <w:tr w:rsidR="00141AD4" w:rsidRPr="00F36B73" w:rsidTr="00141AD4">
        <w:trPr>
          <w:trHeight w:val="315"/>
        </w:trPr>
        <w:tc>
          <w:tcPr>
            <w:tcW w:w="4397" w:type="dxa"/>
            <w:noWrap/>
            <w:hideMark/>
          </w:tcPr>
          <w:p w:rsidR="00141AD4" w:rsidRPr="00F36B73" w:rsidRDefault="00141AD4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Serving diverse populations</w:t>
            </w:r>
          </w:p>
        </w:tc>
        <w:tc>
          <w:tcPr>
            <w:tcW w:w="1556" w:type="dxa"/>
            <w:noWrap/>
            <w:hideMark/>
          </w:tcPr>
          <w:p w:rsidR="00141AD4" w:rsidRPr="00F36B73" w:rsidRDefault="00141AD4" w:rsidP="00F36B7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II.2.3.4a</w:t>
            </w:r>
          </w:p>
        </w:tc>
        <w:tc>
          <w:tcPr>
            <w:tcW w:w="2119" w:type="dxa"/>
            <w:noWrap/>
            <w:hideMark/>
          </w:tcPr>
          <w:p w:rsidR="00141AD4" w:rsidRPr="00F36B73" w:rsidRDefault="00141AD4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Ongoing</w:t>
            </w:r>
          </w:p>
        </w:tc>
        <w:tc>
          <w:tcPr>
            <w:tcW w:w="2239" w:type="dxa"/>
            <w:noWrap/>
            <w:hideMark/>
          </w:tcPr>
          <w:p w:rsidR="00141AD4" w:rsidRPr="00F36B73" w:rsidRDefault="00141AD4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 xml:space="preserve">Affirmative Action </w:t>
            </w:r>
            <w:r w:rsidRPr="00F36B73">
              <w:rPr>
                <w:rFonts w:eastAsia="Times New Roman" w:cs="Times New Roman"/>
                <w:color w:val="000000"/>
                <w:szCs w:val="24"/>
              </w:rPr>
              <w:lastRenderedPageBreak/>
              <w:t>Officer, Deans' Council, Admissions, AVPAA</w:t>
            </w:r>
          </w:p>
        </w:tc>
        <w:tc>
          <w:tcPr>
            <w:tcW w:w="2239" w:type="dxa"/>
          </w:tcPr>
          <w:p w:rsidR="00141AD4" w:rsidRPr="00F36B73" w:rsidRDefault="009A7160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lastRenderedPageBreak/>
              <w:t xml:space="preserve">Working on revised </w:t>
            </w:r>
            <w:r>
              <w:rPr>
                <w:rFonts w:eastAsia="Times New Roman" w:cs="Times New Roman"/>
                <w:color w:val="000000"/>
                <w:szCs w:val="24"/>
              </w:rPr>
              <w:lastRenderedPageBreak/>
              <w:t>hiring proc</w:t>
            </w:r>
            <w:r w:rsidR="00A666CC">
              <w:rPr>
                <w:rFonts w:eastAsia="Times New Roman" w:cs="Times New Roman"/>
                <w:color w:val="000000"/>
                <w:szCs w:val="24"/>
              </w:rPr>
              <w:t>ess</w:t>
            </w:r>
            <w:r w:rsidR="00BF78E8">
              <w:rPr>
                <w:rFonts w:eastAsia="Times New Roman" w:cs="Times New Roman"/>
                <w:color w:val="000000"/>
                <w:szCs w:val="24"/>
              </w:rPr>
              <w:t xml:space="preserve"> and new checklist</w:t>
            </w:r>
            <w:r w:rsidR="00A666CC">
              <w:rPr>
                <w:rFonts w:eastAsia="Times New Roman" w:cs="Times New Roman"/>
                <w:color w:val="000000"/>
                <w:szCs w:val="24"/>
              </w:rPr>
              <w:t xml:space="preserve">.  </w:t>
            </w:r>
            <w:r w:rsidR="00F42A62">
              <w:rPr>
                <w:rFonts w:eastAsia="Times New Roman" w:cs="Times New Roman"/>
                <w:color w:val="000000"/>
                <w:szCs w:val="24"/>
              </w:rPr>
              <w:t xml:space="preserve">AA officer engaged in this with HR.  </w:t>
            </w:r>
            <w:r w:rsidR="00A666CC">
              <w:rPr>
                <w:rFonts w:eastAsia="Times New Roman" w:cs="Times New Roman"/>
                <w:color w:val="000000"/>
                <w:szCs w:val="24"/>
              </w:rPr>
              <w:t>Partnerships listed above to help provide diversity in student population.</w:t>
            </w:r>
          </w:p>
        </w:tc>
      </w:tr>
      <w:tr w:rsidR="00141AD4" w:rsidRPr="00F36B73" w:rsidTr="00141AD4">
        <w:trPr>
          <w:trHeight w:val="315"/>
        </w:trPr>
        <w:tc>
          <w:tcPr>
            <w:tcW w:w="4397" w:type="dxa"/>
            <w:noWrap/>
            <w:hideMark/>
          </w:tcPr>
          <w:p w:rsidR="00141AD4" w:rsidRPr="00F36B73" w:rsidRDefault="00141AD4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lastRenderedPageBreak/>
              <w:t>Multicultural learning community</w:t>
            </w:r>
          </w:p>
        </w:tc>
        <w:tc>
          <w:tcPr>
            <w:tcW w:w="1556" w:type="dxa"/>
            <w:noWrap/>
            <w:hideMark/>
          </w:tcPr>
          <w:p w:rsidR="00141AD4" w:rsidRPr="00F36B73" w:rsidRDefault="00141AD4" w:rsidP="00F36B7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II.2.3.4b</w:t>
            </w:r>
          </w:p>
        </w:tc>
        <w:tc>
          <w:tcPr>
            <w:tcW w:w="2119" w:type="dxa"/>
            <w:noWrap/>
            <w:hideMark/>
          </w:tcPr>
          <w:p w:rsidR="00141AD4" w:rsidRPr="00F36B73" w:rsidRDefault="00141AD4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Ongoing</w:t>
            </w:r>
          </w:p>
        </w:tc>
        <w:tc>
          <w:tcPr>
            <w:tcW w:w="2239" w:type="dxa"/>
            <w:noWrap/>
            <w:hideMark/>
          </w:tcPr>
          <w:p w:rsidR="00141AD4" w:rsidRPr="00F36B73" w:rsidRDefault="00141AD4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Deans' Council, AVPAA</w:t>
            </w:r>
          </w:p>
        </w:tc>
        <w:tc>
          <w:tcPr>
            <w:tcW w:w="2239" w:type="dxa"/>
          </w:tcPr>
          <w:p w:rsidR="00141AD4" w:rsidRPr="00F36B73" w:rsidRDefault="00A666CC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Working to diversify campus.  Climate survey completed in spring 2013.</w:t>
            </w:r>
            <w:r w:rsidR="00F42A62">
              <w:rPr>
                <w:rFonts w:eastAsia="Times New Roman" w:cs="Times New Roman"/>
                <w:color w:val="000000"/>
                <w:szCs w:val="24"/>
              </w:rPr>
              <w:t xml:space="preserve">  Safe place identified for LGBT students.  Multicultural Center and staffing in planning process through SDE.</w:t>
            </w:r>
          </w:p>
        </w:tc>
      </w:tr>
      <w:tr w:rsidR="00141AD4" w:rsidRPr="00F36B73" w:rsidTr="00141AD4">
        <w:trPr>
          <w:trHeight w:val="315"/>
        </w:trPr>
        <w:tc>
          <w:tcPr>
            <w:tcW w:w="4397" w:type="dxa"/>
            <w:noWrap/>
            <w:hideMark/>
          </w:tcPr>
          <w:p w:rsidR="00141AD4" w:rsidRPr="00F36B73" w:rsidRDefault="00141AD4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University focus on sustainability</w:t>
            </w:r>
          </w:p>
        </w:tc>
        <w:tc>
          <w:tcPr>
            <w:tcW w:w="1556" w:type="dxa"/>
            <w:noWrap/>
            <w:hideMark/>
          </w:tcPr>
          <w:p w:rsidR="00141AD4" w:rsidRPr="00F36B73" w:rsidRDefault="00141AD4" w:rsidP="00F36B7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II.2.3.9</w:t>
            </w:r>
          </w:p>
        </w:tc>
        <w:tc>
          <w:tcPr>
            <w:tcW w:w="2119" w:type="dxa"/>
            <w:noWrap/>
            <w:hideMark/>
          </w:tcPr>
          <w:p w:rsidR="00141AD4" w:rsidRPr="00F36B73" w:rsidRDefault="00141AD4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Ongoing</w:t>
            </w:r>
          </w:p>
        </w:tc>
        <w:tc>
          <w:tcPr>
            <w:tcW w:w="2239" w:type="dxa"/>
            <w:noWrap/>
            <w:hideMark/>
          </w:tcPr>
          <w:p w:rsidR="00141AD4" w:rsidRPr="00F36B73" w:rsidRDefault="00141AD4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Vice Presidents</w:t>
            </w:r>
          </w:p>
        </w:tc>
        <w:tc>
          <w:tcPr>
            <w:tcW w:w="2239" w:type="dxa"/>
          </w:tcPr>
          <w:p w:rsidR="00141AD4" w:rsidRPr="00F36B73" w:rsidRDefault="00F42A62" w:rsidP="00F42A62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Need to have a conversation about how to incorporate this into the curriculum to a greater extent.</w:t>
            </w:r>
          </w:p>
        </w:tc>
      </w:tr>
      <w:tr w:rsidR="00141AD4" w:rsidRPr="00F36B73" w:rsidTr="00141AD4">
        <w:trPr>
          <w:trHeight w:val="315"/>
        </w:trPr>
        <w:tc>
          <w:tcPr>
            <w:tcW w:w="4397" w:type="dxa"/>
            <w:noWrap/>
            <w:hideMark/>
          </w:tcPr>
          <w:p w:rsidR="00141AD4" w:rsidRPr="00F36B73" w:rsidRDefault="00141AD4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Engage Bemidji community in internationalization efforts</w:t>
            </w:r>
          </w:p>
        </w:tc>
        <w:tc>
          <w:tcPr>
            <w:tcW w:w="1556" w:type="dxa"/>
            <w:noWrap/>
            <w:hideMark/>
          </w:tcPr>
          <w:p w:rsidR="00141AD4" w:rsidRPr="00F36B73" w:rsidRDefault="00141AD4" w:rsidP="00F36B7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II.3.2.3</w:t>
            </w:r>
          </w:p>
        </w:tc>
        <w:tc>
          <w:tcPr>
            <w:tcW w:w="2119" w:type="dxa"/>
            <w:noWrap/>
            <w:hideMark/>
          </w:tcPr>
          <w:p w:rsidR="00141AD4" w:rsidRPr="00F36B73" w:rsidRDefault="00141AD4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Ongoing</w:t>
            </w:r>
          </w:p>
        </w:tc>
        <w:tc>
          <w:tcPr>
            <w:tcW w:w="2239" w:type="dxa"/>
            <w:noWrap/>
            <w:hideMark/>
          </w:tcPr>
          <w:p w:rsidR="00141AD4" w:rsidRPr="00F36B73" w:rsidRDefault="00141AD4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Academic Affairs, VP IEL, Director of International Relations</w:t>
            </w:r>
          </w:p>
        </w:tc>
        <w:tc>
          <w:tcPr>
            <w:tcW w:w="2239" w:type="dxa"/>
          </w:tcPr>
          <w:p w:rsidR="00141AD4" w:rsidRPr="00F36B73" w:rsidRDefault="009A7160" w:rsidP="00CA2006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Summer camp for middle/high school international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</w:rPr>
              <w:t>students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</w:rPr>
              <w:t xml:space="preserve"> summer 2013</w:t>
            </w:r>
            <w:r w:rsidR="00F42A62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="00CA2006">
              <w:rPr>
                <w:rFonts w:eastAsia="Times New Roman" w:cs="Times New Roman"/>
                <w:color w:val="000000"/>
                <w:szCs w:val="24"/>
              </w:rPr>
              <w:t>is renewed for</w:t>
            </w:r>
            <w:r w:rsidR="00F42A62">
              <w:rPr>
                <w:rFonts w:eastAsia="Times New Roman" w:cs="Times New Roman"/>
                <w:color w:val="000000"/>
                <w:szCs w:val="24"/>
              </w:rPr>
              <w:t xml:space="preserve"> 2014</w:t>
            </w:r>
            <w:r w:rsidR="00CA2006">
              <w:rPr>
                <w:rFonts w:eastAsia="Times New Roman" w:cs="Times New Roman"/>
                <w:color w:val="000000"/>
                <w:szCs w:val="24"/>
              </w:rPr>
              <w:t xml:space="preserve"> and we expect 40-50 students.</w:t>
            </w:r>
            <w:r w:rsidR="00A666CC">
              <w:rPr>
                <w:rFonts w:eastAsia="Times New Roman" w:cs="Times New Roman"/>
                <w:color w:val="000000"/>
                <w:szCs w:val="24"/>
              </w:rPr>
              <w:t xml:space="preserve">  Me</w:t>
            </w:r>
            <w:r w:rsidR="00BF78E8">
              <w:rPr>
                <w:rFonts w:eastAsia="Times New Roman" w:cs="Times New Roman"/>
                <w:color w:val="000000"/>
                <w:szCs w:val="24"/>
              </w:rPr>
              <w:t>t</w:t>
            </w:r>
            <w:r w:rsidR="00A666CC">
              <w:rPr>
                <w:rFonts w:eastAsia="Times New Roman" w:cs="Times New Roman"/>
                <w:color w:val="000000"/>
                <w:szCs w:val="24"/>
              </w:rPr>
              <w:t xml:space="preserve"> with </w:t>
            </w:r>
            <w:r w:rsidR="00BF78E8">
              <w:rPr>
                <w:rFonts w:eastAsia="Times New Roman" w:cs="Times New Roman"/>
                <w:color w:val="000000"/>
                <w:szCs w:val="24"/>
              </w:rPr>
              <w:t xml:space="preserve">three </w:t>
            </w:r>
            <w:r w:rsidR="00A666CC">
              <w:rPr>
                <w:rFonts w:eastAsia="Times New Roman" w:cs="Times New Roman"/>
                <w:color w:val="000000"/>
                <w:szCs w:val="24"/>
              </w:rPr>
              <w:t xml:space="preserve">civic groups:  </w:t>
            </w:r>
            <w:r w:rsidR="00BF78E8">
              <w:rPr>
                <w:rFonts w:eastAsia="Times New Roman" w:cs="Times New Roman"/>
                <w:color w:val="000000"/>
                <w:szCs w:val="24"/>
              </w:rPr>
              <w:t xml:space="preserve">Sunshine Rotary, </w:t>
            </w:r>
            <w:proofErr w:type="spellStart"/>
            <w:r w:rsidR="00A666CC">
              <w:rPr>
                <w:rFonts w:eastAsia="Times New Roman" w:cs="Times New Roman"/>
                <w:color w:val="000000"/>
                <w:szCs w:val="24"/>
              </w:rPr>
              <w:t>BemidjiLeads</w:t>
            </w:r>
            <w:proofErr w:type="spellEnd"/>
            <w:r w:rsidR="00A666CC">
              <w:rPr>
                <w:rFonts w:eastAsia="Times New Roman" w:cs="Times New Roman"/>
                <w:color w:val="000000"/>
                <w:szCs w:val="24"/>
              </w:rPr>
              <w:t xml:space="preserve"> and Greater</w:t>
            </w:r>
            <w:r w:rsidR="00BF78E8">
              <w:rPr>
                <w:rFonts w:eastAsia="Times New Roman" w:cs="Times New Roman"/>
                <w:color w:val="000000"/>
                <w:szCs w:val="24"/>
              </w:rPr>
              <w:t xml:space="preserve"> Bemidji Board </w:t>
            </w:r>
            <w:r w:rsidR="00A666CC">
              <w:rPr>
                <w:rFonts w:eastAsia="Times New Roman" w:cs="Times New Roman"/>
                <w:color w:val="000000"/>
                <w:szCs w:val="24"/>
              </w:rPr>
              <w:t>done.</w:t>
            </w:r>
          </w:p>
        </w:tc>
      </w:tr>
      <w:tr w:rsidR="00141AD4" w:rsidRPr="00F36B73" w:rsidTr="00141AD4">
        <w:trPr>
          <w:trHeight w:val="315"/>
        </w:trPr>
        <w:tc>
          <w:tcPr>
            <w:tcW w:w="4397" w:type="dxa"/>
            <w:noWrap/>
            <w:hideMark/>
          </w:tcPr>
          <w:p w:rsidR="00141AD4" w:rsidRPr="00F36B73" w:rsidRDefault="00141AD4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 xml:space="preserve">IPC, AIRC library connections with Acad. </w:t>
            </w:r>
            <w:r w:rsidRPr="00F36B73">
              <w:rPr>
                <w:rFonts w:eastAsia="Times New Roman" w:cs="Times New Roman"/>
                <w:color w:val="000000"/>
                <w:szCs w:val="24"/>
              </w:rPr>
              <w:lastRenderedPageBreak/>
              <w:t>Affairs</w:t>
            </w:r>
          </w:p>
        </w:tc>
        <w:tc>
          <w:tcPr>
            <w:tcW w:w="1556" w:type="dxa"/>
            <w:noWrap/>
            <w:hideMark/>
          </w:tcPr>
          <w:p w:rsidR="00141AD4" w:rsidRPr="00F36B73" w:rsidRDefault="00141AD4" w:rsidP="00F36B7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lastRenderedPageBreak/>
              <w:t>II.4.2</w:t>
            </w:r>
          </w:p>
        </w:tc>
        <w:tc>
          <w:tcPr>
            <w:tcW w:w="2119" w:type="dxa"/>
            <w:noWrap/>
            <w:hideMark/>
          </w:tcPr>
          <w:p w:rsidR="00141AD4" w:rsidRPr="00F36B73" w:rsidRDefault="00141AD4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Ongoing</w:t>
            </w:r>
          </w:p>
        </w:tc>
        <w:tc>
          <w:tcPr>
            <w:tcW w:w="2239" w:type="dxa"/>
            <w:noWrap/>
            <w:hideMark/>
          </w:tcPr>
          <w:p w:rsidR="00141AD4" w:rsidRPr="00F36B73" w:rsidRDefault="00141AD4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 xml:space="preserve">Provost, VP IEL, VP </w:t>
            </w:r>
            <w:r w:rsidRPr="00F36B73">
              <w:rPr>
                <w:rFonts w:eastAsia="Times New Roman" w:cs="Times New Roman"/>
                <w:color w:val="000000"/>
                <w:szCs w:val="24"/>
              </w:rPr>
              <w:lastRenderedPageBreak/>
              <w:t>SDE</w:t>
            </w:r>
          </w:p>
        </w:tc>
        <w:tc>
          <w:tcPr>
            <w:tcW w:w="2239" w:type="dxa"/>
          </w:tcPr>
          <w:p w:rsidR="00141AD4" w:rsidRPr="00F36B73" w:rsidRDefault="009A7160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lastRenderedPageBreak/>
              <w:t>In process.</w:t>
            </w:r>
            <w:r w:rsidR="00A666CC">
              <w:rPr>
                <w:rFonts w:eastAsia="Times New Roman" w:cs="Times New Roman"/>
                <w:color w:val="000000"/>
                <w:szCs w:val="24"/>
              </w:rPr>
              <w:t xml:space="preserve">  </w:t>
            </w:r>
            <w:r w:rsidR="00CA2006">
              <w:rPr>
                <w:rFonts w:eastAsia="Times New Roman" w:cs="Times New Roman"/>
                <w:color w:val="000000"/>
                <w:szCs w:val="24"/>
              </w:rPr>
              <w:t xml:space="preserve">University </w:t>
            </w:r>
            <w:r w:rsidR="00CA2006">
              <w:rPr>
                <w:rFonts w:eastAsia="Times New Roman" w:cs="Times New Roman"/>
                <w:color w:val="000000"/>
                <w:szCs w:val="24"/>
              </w:rPr>
              <w:lastRenderedPageBreak/>
              <w:t xml:space="preserve">Commons model being considered for library.  </w:t>
            </w:r>
            <w:r w:rsidR="00A666CC">
              <w:rPr>
                <w:rFonts w:eastAsia="Times New Roman" w:cs="Times New Roman"/>
                <w:color w:val="000000"/>
                <w:szCs w:val="24"/>
              </w:rPr>
              <w:t>Collaboration between VPAA and VPSDE ongoing.</w:t>
            </w:r>
          </w:p>
        </w:tc>
      </w:tr>
      <w:tr w:rsidR="00141AD4" w:rsidRPr="00F36B73" w:rsidTr="00141AD4">
        <w:trPr>
          <w:trHeight w:val="315"/>
        </w:trPr>
        <w:tc>
          <w:tcPr>
            <w:tcW w:w="4397" w:type="dxa"/>
            <w:noWrap/>
            <w:hideMark/>
          </w:tcPr>
          <w:p w:rsidR="00141AD4" w:rsidRPr="00F36B73" w:rsidRDefault="00141AD4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lastRenderedPageBreak/>
              <w:t>Faculty Lines</w:t>
            </w:r>
          </w:p>
        </w:tc>
        <w:tc>
          <w:tcPr>
            <w:tcW w:w="1556" w:type="dxa"/>
            <w:noWrap/>
            <w:hideMark/>
          </w:tcPr>
          <w:p w:rsidR="00141AD4" w:rsidRPr="00F36B73" w:rsidRDefault="00F77A67" w:rsidP="00F36B7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Appendix</w:t>
            </w:r>
          </w:p>
        </w:tc>
        <w:tc>
          <w:tcPr>
            <w:tcW w:w="2119" w:type="dxa"/>
            <w:noWrap/>
            <w:hideMark/>
          </w:tcPr>
          <w:p w:rsidR="00141AD4" w:rsidRPr="00F36B73" w:rsidRDefault="00F77A67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Ongoing</w:t>
            </w:r>
          </w:p>
        </w:tc>
        <w:tc>
          <w:tcPr>
            <w:tcW w:w="2239" w:type="dxa"/>
            <w:noWrap/>
            <w:hideMark/>
          </w:tcPr>
          <w:p w:rsidR="00141AD4" w:rsidRPr="00F36B73" w:rsidRDefault="00141AD4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Deans' Council, Cabinet</w:t>
            </w:r>
          </w:p>
        </w:tc>
        <w:tc>
          <w:tcPr>
            <w:tcW w:w="2239" w:type="dxa"/>
          </w:tcPr>
          <w:p w:rsidR="00CA2006" w:rsidRPr="00F36B73" w:rsidRDefault="009A7160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Added 6 </w:t>
            </w:r>
            <w:r w:rsidR="009800CC">
              <w:rPr>
                <w:rFonts w:eastAsia="Times New Roman" w:cs="Times New Roman"/>
                <w:color w:val="000000"/>
                <w:szCs w:val="24"/>
              </w:rPr>
              <w:t xml:space="preserve">new </w:t>
            </w:r>
            <w:r w:rsidR="00F42A62">
              <w:rPr>
                <w:rFonts w:eastAsia="Times New Roman" w:cs="Times New Roman"/>
                <w:color w:val="000000"/>
                <w:szCs w:val="24"/>
              </w:rPr>
              <w:t xml:space="preserve">probationary lines fall 2013 and 6 new fixed-term lines for 80/20 programs.  </w:t>
            </w:r>
          </w:p>
        </w:tc>
      </w:tr>
      <w:tr w:rsidR="00F77A67" w:rsidRPr="00F36B73" w:rsidTr="00141AD4">
        <w:trPr>
          <w:trHeight w:val="315"/>
        </w:trPr>
        <w:tc>
          <w:tcPr>
            <w:tcW w:w="4397" w:type="dxa"/>
            <w:noWrap/>
          </w:tcPr>
          <w:p w:rsidR="00F77A67" w:rsidRPr="00F36B73" w:rsidRDefault="00F77A67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Course evaluation</w:t>
            </w:r>
          </w:p>
        </w:tc>
        <w:tc>
          <w:tcPr>
            <w:tcW w:w="1556" w:type="dxa"/>
            <w:noWrap/>
          </w:tcPr>
          <w:p w:rsidR="00F77A67" w:rsidRPr="00F36B73" w:rsidRDefault="00F77A67" w:rsidP="00F36B7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11.4.7</w:t>
            </w:r>
          </w:p>
        </w:tc>
        <w:tc>
          <w:tcPr>
            <w:tcW w:w="2119" w:type="dxa"/>
            <w:noWrap/>
          </w:tcPr>
          <w:p w:rsidR="00F77A67" w:rsidRPr="00F36B73" w:rsidRDefault="00F77A67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Fall 2015</w:t>
            </w:r>
          </w:p>
        </w:tc>
        <w:tc>
          <w:tcPr>
            <w:tcW w:w="2239" w:type="dxa"/>
            <w:noWrap/>
          </w:tcPr>
          <w:p w:rsidR="00F77A67" w:rsidRPr="00F36B73" w:rsidRDefault="00F77A67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Deans’ Council</w:t>
            </w:r>
          </w:p>
        </w:tc>
        <w:tc>
          <w:tcPr>
            <w:tcW w:w="2239" w:type="dxa"/>
          </w:tcPr>
          <w:p w:rsidR="00F77A67" w:rsidRDefault="00F77A67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Draft proposal taken to BSUFA meet and confer February 2014</w:t>
            </w:r>
          </w:p>
        </w:tc>
      </w:tr>
    </w:tbl>
    <w:p w:rsidR="008A52E4" w:rsidRDefault="008A52E4"/>
    <w:sectPr w:rsidR="008A52E4" w:rsidSect="00F36B7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B73"/>
    <w:rsid w:val="00141AD4"/>
    <w:rsid w:val="0039309D"/>
    <w:rsid w:val="003C589B"/>
    <w:rsid w:val="00793D1E"/>
    <w:rsid w:val="0080778B"/>
    <w:rsid w:val="008A52E4"/>
    <w:rsid w:val="009800CC"/>
    <w:rsid w:val="00982BE3"/>
    <w:rsid w:val="009A7160"/>
    <w:rsid w:val="009D0CE1"/>
    <w:rsid w:val="009D6E97"/>
    <w:rsid w:val="00A666CC"/>
    <w:rsid w:val="00BF78E8"/>
    <w:rsid w:val="00C2592B"/>
    <w:rsid w:val="00C75CB0"/>
    <w:rsid w:val="00C95936"/>
    <w:rsid w:val="00CA2006"/>
    <w:rsid w:val="00CA3A40"/>
    <w:rsid w:val="00F36B73"/>
    <w:rsid w:val="00F42A62"/>
    <w:rsid w:val="00F7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D1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6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D1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6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0A053-5A43-4CDE-B1D4-065EAEE53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2014-02-18T17:08:00Z</dcterms:created>
  <dcterms:modified xsi:type="dcterms:W3CDTF">2014-02-18T17:08:00Z</dcterms:modified>
</cp:coreProperties>
</file>