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620" w:type="dxa"/>
        <w:tblLook w:val="04A0" w:firstRow="1" w:lastRow="0" w:firstColumn="1" w:lastColumn="0" w:noHBand="0" w:noVBand="1"/>
      </w:tblPr>
      <w:tblGrid>
        <w:gridCol w:w="4397"/>
        <w:gridCol w:w="1556"/>
        <w:gridCol w:w="2119"/>
        <w:gridCol w:w="2239"/>
        <w:gridCol w:w="222"/>
        <w:gridCol w:w="222"/>
        <w:gridCol w:w="222"/>
        <w:gridCol w:w="952"/>
        <w:gridCol w:w="128"/>
        <w:gridCol w:w="827"/>
        <w:gridCol w:w="955"/>
        <w:gridCol w:w="222"/>
        <w:gridCol w:w="222"/>
      </w:tblGrid>
      <w:tr w:rsidR="00F36B73" w:rsidRPr="00F36B73" w:rsidTr="00F36B73">
        <w:trPr>
          <w:gridAfter w:val="2"/>
          <w:wAfter w:w="444" w:type="dxa"/>
          <w:trHeight w:val="315"/>
        </w:trPr>
        <w:tc>
          <w:tcPr>
            <w:tcW w:w="4397" w:type="dxa"/>
            <w:noWrap/>
            <w:hideMark/>
          </w:tcPr>
          <w:p w:rsidR="00F36B73" w:rsidRPr="00F36B73" w:rsidRDefault="00F36B73" w:rsidP="00F36B73">
            <w:pPr>
              <w:rPr>
                <w:b/>
                <w:bCs/>
              </w:rPr>
            </w:pPr>
            <w:bookmarkStart w:id="0" w:name="_GoBack"/>
            <w:bookmarkEnd w:id="0"/>
            <w:r w:rsidRPr="00F36B73">
              <w:rPr>
                <w:b/>
                <w:bCs/>
              </w:rPr>
              <w:t>Task</w:t>
            </w:r>
          </w:p>
        </w:tc>
        <w:tc>
          <w:tcPr>
            <w:tcW w:w="1556" w:type="dxa"/>
            <w:noWrap/>
            <w:hideMark/>
          </w:tcPr>
          <w:p w:rsidR="00F36B73" w:rsidRPr="00F36B73" w:rsidRDefault="00F36B73" w:rsidP="00F36B73">
            <w:pPr>
              <w:rPr>
                <w:b/>
                <w:bCs/>
              </w:rPr>
            </w:pPr>
            <w:r w:rsidRPr="00F36B73">
              <w:rPr>
                <w:b/>
                <w:bCs/>
              </w:rPr>
              <w:t>Map Reference</w:t>
            </w:r>
          </w:p>
        </w:tc>
        <w:tc>
          <w:tcPr>
            <w:tcW w:w="2119" w:type="dxa"/>
            <w:noWrap/>
            <w:hideMark/>
          </w:tcPr>
          <w:p w:rsidR="00F36B73" w:rsidRPr="00F36B73" w:rsidRDefault="00F36B73" w:rsidP="00F36B73">
            <w:pPr>
              <w:rPr>
                <w:b/>
                <w:bCs/>
              </w:rPr>
            </w:pPr>
            <w:r w:rsidRPr="00F36B73">
              <w:rPr>
                <w:b/>
                <w:bCs/>
              </w:rPr>
              <w:t>Timeline</w:t>
            </w:r>
          </w:p>
        </w:tc>
        <w:tc>
          <w:tcPr>
            <w:tcW w:w="2239" w:type="dxa"/>
            <w:noWrap/>
            <w:hideMark/>
          </w:tcPr>
          <w:p w:rsidR="00F36B73" w:rsidRPr="00F36B73" w:rsidRDefault="00F36B73" w:rsidP="00F36B73">
            <w:pPr>
              <w:rPr>
                <w:b/>
                <w:bCs/>
              </w:rPr>
            </w:pPr>
            <w:r w:rsidRPr="00F36B73">
              <w:rPr>
                <w:b/>
                <w:bCs/>
              </w:rPr>
              <w:t>Responsible Party(ies)</w:t>
            </w:r>
          </w:p>
        </w:tc>
        <w:tc>
          <w:tcPr>
            <w:tcW w:w="955" w:type="dxa"/>
            <w:gridSpan w:val="4"/>
            <w:noWrap/>
            <w:hideMark/>
          </w:tcPr>
          <w:p w:rsidR="00F36B73" w:rsidRPr="00F36B73" w:rsidRDefault="00F36B73"/>
        </w:tc>
        <w:tc>
          <w:tcPr>
            <w:tcW w:w="955" w:type="dxa"/>
            <w:gridSpan w:val="2"/>
            <w:noWrap/>
            <w:hideMark/>
          </w:tcPr>
          <w:p w:rsidR="00F36B73" w:rsidRPr="00F36B73" w:rsidRDefault="00F36B73"/>
        </w:tc>
        <w:tc>
          <w:tcPr>
            <w:tcW w:w="955" w:type="dxa"/>
            <w:noWrap/>
            <w:hideMark/>
          </w:tcPr>
          <w:p w:rsidR="00F36B73" w:rsidRPr="00F36B73" w:rsidRDefault="00F36B73"/>
        </w:tc>
      </w:tr>
      <w:tr w:rsidR="00F36B73" w:rsidRPr="00F36B73" w:rsidTr="00F36B73">
        <w:trPr>
          <w:gridAfter w:val="2"/>
          <w:wAfter w:w="444" w:type="dxa"/>
          <w:trHeight w:val="315"/>
        </w:trPr>
        <w:tc>
          <w:tcPr>
            <w:tcW w:w="4397" w:type="dxa"/>
            <w:noWrap/>
            <w:hideMark/>
          </w:tcPr>
          <w:p w:rsidR="00F36B73" w:rsidRPr="00F36B73" w:rsidRDefault="00F36B73">
            <w:r w:rsidRPr="00F36B73">
              <w:t>Student Career Placement</w:t>
            </w:r>
          </w:p>
        </w:tc>
        <w:tc>
          <w:tcPr>
            <w:tcW w:w="1556" w:type="dxa"/>
            <w:noWrap/>
            <w:hideMark/>
          </w:tcPr>
          <w:p w:rsidR="00F36B73" w:rsidRPr="00F36B73" w:rsidRDefault="00F36B73" w:rsidP="00F36B73">
            <w:r w:rsidRPr="00F36B73">
              <w:t>II.2.3.5</w:t>
            </w:r>
          </w:p>
        </w:tc>
        <w:tc>
          <w:tcPr>
            <w:tcW w:w="2119" w:type="dxa"/>
            <w:noWrap/>
            <w:hideMark/>
          </w:tcPr>
          <w:p w:rsidR="00F36B73" w:rsidRPr="00F36B73" w:rsidRDefault="00F36B73">
            <w:r w:rsidRPr="00F36B73">
              <w:t>Fall, 2013</w:t>
            </w:r>
          </w:p>
        </w:tc>
        <w:tc>
          <w:tcPr>
            <w:tcW w:w="2239" w:type="dxa"/>
            <w:noWrap/>
            <w:hideMark/>
          </w:tcPr>
          <w:p w:rsidR="00F36B73" w:rsidRPr="00F36B73" w:rsidRDefault="00F36B73">
            <w:r w:rsidRPr="00F36B73">
              <w:t>Career Services</w:t>
            </w:r>
          </w:p>
        </w:tc>
        <w:tc>
          <w:tcPr>
            <w:tcW w:w="955" w:type="dxa"/>
            <w:gridSpan w:val="4"/>
            <w:noWrap/>
            <w:hideMark/>
          </w:tcPr>
          <w:p w:rsidR="00F36B73" w:rsidRPr="00F36B73" w:rsidRDefault="00F36B73"/>
        </w:tc>
        <w:tc>
          <w:tcPr>
            <w:tcW w:w="955" w:type="dxa"/>
            <w:gridSpan w:val="2"/>
            <w:noWrap/>
            <w:hideMark/>
          </w:tcPr>
          <w:p w:rsidR="00F36B73" w:rsidRPr="00F36B73" w:rsidRDefault="00F36B73"/>
        </w:tc>
        <w:tc>
          <w:tcPr>
            <w:tcW w:w="955" w:type="dxa"/>
            <w:noWrap/>
            <w:hideMark/>
          </w:tcPr>
          <w:p w:rsidR="00F36B73" w:rsidRPr="00F36B73" w:rsidRDefault="00F36B73"/>
        </w:tc>
      </w:tr>
      <w:tr w:rsidR="00F36B73" w:rsidRPr="00F36B73" w:rsidTr="00F36B73">
        <w:trPr>
          <w:gridAfter w:val="2"/>
          <w:wAfter w:w="444" w:type="dxa"/>
          <w:trHeight w:val="315"/>
        </w:trPr>
        <w:tc>
          <w:tcPr>
            <w:tcW w:w="4397" w:type="dxa"/>
            <w:noWrap/>
            <w:hideMark/>
          </w:tcPr>
          <w:p w:rsidR="00F36B73" w:rsidRPr="00F36B73" w:rsidRDefault="00F36B73">
            <w:r w:rsidRPr="00F36B73">
              <w:t>Global Learning Classroom(s)</w:t>
            </w:r>
          </w:p>
        </w:tc>
        <w:tc>
          <w:tcPr>
            <w:tcW w:w="1556" w:type="dxa"/>
            <w:noWrap/>
            <w:hideMark/>
          </w:tcPr>
          <w:p w:rsidR="00F36B73" w:rsidRPr="00F36B73" w:rsidRDefault="00F36B73" w:rsidP="00F36B73">
            <w:r w:rsidRPr="00F36B73">
              <w:t>II.3.1.1c</w:t>
            </w:r>
          </w:p>
        </w:tc>
        <w:tc>
          <w:tcPr>
            <w:tcW w:w="2119" w:type="dxa"/>
            <w:noWrap/>
            <w:hideMark/>
          </w:tcPr>
          <w:p w:rsidR="00F36B73" w:rsidRPr="00F36B73" w:rsidRDefault="00F36B73">
            <w:r w:rsidRPr="00F36B73">
              <w:t>Fall, 2013</w:t>
            </w:r>
          </w:p>
        </w:tc>
        <w:tc>
          <w:tcPr>
            <w:tcW w:w="5104" w:type="dxa"/>
            <w:gridSpan w:val="8"/>
            <w:noWrap/>
            <w:hideMark/>
          </w:tcPr>
          <w:p w:rsidR="00F36B73" w:rsidRPr="00F36B73" w:rsidRDefault="00F36B73">
            <w:r w:rsidRPr="00F36B73">
              <w:t>Provost, VP IEL, Director of International Relations</w:t>
            </w:r>
          </w:p>
        </w:tc>
      </w:tr>
      <w:tr w:rsidR="00F36B73" w:rsidRPr="00F36B73" w:rsidTr="00F36B73">
        <w:trPr>
          <w:gridAfter w:val="2"/>
          <w:wAfter w:w="444" w:type="dxa"/>
          <w:trHeight w:val="315"/>
        </w:trPr>
        <w:tc>
          <w:tcPr>
            <w:tcW w:w="4397" w:type="dxa"/>
            <w:noWrap/>
            <w:hideMark/>
          </w:tcPr>
          <w:p w:rsidR="00F36B73" w:rsidRPr="00F36B73" w:rsidRDefault="00F36B73">
            <w:r w:rsidRPr="00F36B73">
              <w:t>Administrator Evaluation Process</w:t>
            </w:r>
          </w:p>
        </w:tc>
        <w:tc>
          <w:tcPr>
            <w:tcW w:w="1556" w:type="dxa"/>
            <w:noWrap/>
            <w:hideMark/>
          </w:tcPr>
          <w:p w:rsidR="00F36B73" w:rsidRPr="00F36B73" w:rsidRDefault="00F36B73" w:rsidP="00F36B73">
            <w:r w:rsidRPr="00F36B73">
              <w:t>II.4.8</w:t>
            </w:r>
          </w:p>
        </w:tc>
        <w:tc>
          <w:tcPr>
            <w:tcW w:w="2119" w:type="dxa"/>
            <w:noWrap/>
            <w:hideMark/>
          </w:tcPr>
          <w:p w:rsidR="00F36B73" w:rsidRPr="00F36B73" w:rsidRDefault="00F36B73">
            <w:r w:rsidRPr="00F36B73">
              <w:t>Fall, 2013</w:t>
            </w:r>
          </w:p>
        </w:tc>
        <w:tc>
          <w:tcPr>
            <w:tcW w:w="2239" w:type="dxa"/>
            <w:noWrap/>
            <w:hideMark/>
          </w:tcPr>
          <w:p w:rsidR="00F36B73" w:rsidRPr="00F36B73" w:rsidRDefault="00F36B73">
            <w:r w:rsidRPr="00F36B73">
              <w:t>Deans' Council, Provost</w:t>
            </w:r>
          </w:p>
        </w:tc>
        <w:tc>
          <w:tcPr>
            <w:tcW w:w="955" w:type="dxa"/>
            <w:gridSpan w:val="4"/>
            <w:noWrap/>
            <w:hideMark/>
          </w:tcPr>
          <w:p w:rsidR="00F36B73" w:rsidRPr="00F36B73" w:rsidRDefault="00F36B73"/>
        </w:tc>
        <w:tc>
          <w:tcPr>
            <w:tcW w:w="955" w:type="dxa"/>
            <w:gridSpan w:val="2"/>
            <w:noWrap/>
            <w:hideMark/>
          </w:tcPr>
          <w:p w:rsidR="00F36B73" w:rsidRPr="00F36B73" w:rsidRDefault="00F36B73"/>
        </w:tc>
        <w:tc>
          <w:tcPr>
            <w:tcW w:w="955" w:type="dxa"/>
            <w:noWrap/>
            <w:hideMark/>
          </w:tcPr>
          <w:p w:rsidR="00F36B73" w:rsidRPr="00F36B73" w:rsidRDefault="00F36B73"/>
        </w:tc>
      </w:tr>
      <w:tr w:rsidR="00F36B73" w:rsidRPr="00F36B73" w:rsidTr="00F36B73">
        <w:trPr>
          <w:gridAfter w:val="2"/>
          <w:wAfter w:w="444" w:type="dxa"/>
          <w:trHeight w:val="315"/>
        </w:trPr>
        <w:tc>
          <w:tcPr>
            <w:tcW w:w="4397" w:type="dxa"/>
            <w:noWrap/>
            <w:hideMark/>
          </w:tcPr>
          <w:p w:rsidR="00F36B73" w:rsidRPr="00F36B73" w:rsidRDefault="00F36B73">
            <w:r w:rsidRPr="00F36B73">
              <w:t>Move beyond NTC/BSU alignment</w:t>
            </w:r>
          </w:p>
        </w:tc>
        <w:tc>
          <w:tcPr>
            <w:tcW w:w="1556" w:type="dxa"/>
            <w:noWrap/>
            <w:hideMark/>
          </w:tcPr>
          <w:p w:rsidR="00F36B73" w:rsidRPr="00F36B73" w:rsidRDefault="00F36B73" w:rsidP="00F36B73">
            <w:r w:rsidRPr="00F36B73">
              <w:t>II.4.11</w:t>
            </w:r>
          </w:p>
        </w:tc>
        <w:tc>
          <w:tcPr>
            <w:tcW w:w="2119" w:type="dxa"/>
            <w:noWrap/>
            <w:hideMark/>
          </w:tcPr>
          <w:p w:rsidR="00F36B73" w:rsidRPr="00F36B73" w:rsidRDefault="00F36B73">
            <w:r w:rsidRPr="00F36B73">
              <w:t>Fall, 2013</w:t>
            </w:r>
          </w:p>
        </w:tc>
        <w:tc>
          <w:tcPr>
            <w:tcW w:w="2239" w:type="dxa"/>
            <w:noWrap/>
            <w:hideMark/>
          </w:tcPr>
          <w:p w:rsidR="00F36B73" w:rsidRPr="00F36B73" w:rsidRDefault="00F36B73">
            <w:r w:rsidRPr="00F36B73">
              <w:t>President's taskforce</w:t>
            </w:r>
          </w:p>
        </w:tc>
        <w:tc>
          <w:tcPr>
            <w:tcW w:w="955" w:type="dxa"/>
            <w:gridSpan w:val="4"/>
            <w:noWrap/>
            <w:hideMark/>
          </w:tcPr>
          <w:p w:rsidR="00F36B73" w:rsidRPr="00F36B73" w:rsidRDefault="00F36B73"/>
        </w:tc>
        <w:tc>
          <w:tcPr>
            <w:tcW w:w="955" w:type="dxa"/>
            <w:gridSpan w:val="2"/>
            <w:noWrap/>
            <w:hideMark/>
          </w:tcPr>
          <w:p w:rsidR="00F36B73" w:rsidRPr="00F36B73" w:rsidRDefault="00F36B73"/>
        </w:tc>
        <w:tc>
          <w:tcPr>
            <w:tcW w:w="955" w:type="dxa"/>
            <w:noWrap/>
            <w:hideMark/>
          </w:tcPr>
          <w:p w:rsidR="00F36B73" w:rsidRPr="00F36B73" w:rsidRDefault="00F36B73"/>
        </w:tc>
      </w:tr>
      <w:tr w:rsidR="00F36B73" w:rsidRPr="00F36B73" w:rsidTr="00F36B73">
        <w:trPr>
          <w:gridAfter w:val="2"/>
          <w:wAfter w:w="444" w:type="dxa"/>
          <w:trHeight w:val="315"/>
        </w:trPr>
        <w:tc>
          <w:tcPr>
            <w:tcW w:w="4397" w:type="dxa"/>
            <w:noWrap/>
            <w:hideMark/>
          </w:tcPr>
          <w:p w:rsidR="00F36B73" w:rsidRPr="00F36B73" w:rsidRDefault="00F36B73">
            <w:r w:rsidRPr="00F36B73">
              <w:t>Assessment of Student Learning</w:t>
            </w:r>
          </w:p>
        </w:tc>
        <w:tc>
          <w:tcPr>
            <w:tcW w:w="1556" w:type="dxa"/>
            <w:noWrap/>
            <w:hideMark/>
          </w:tcPr>
          <w:p w:rsidR="00F36B73" w:rsidRPr="00F36B73" w:rsidRDefault="00F36B73" w:rsidP="00F36B73">
            <w:r w:rsidRPr="00F36B73">
              <w:t>II.2.5.1</w:t>
            </w:r>
          </w:p>
        </w:tc>
        <w:tc>
          <w:tcPr>
            <w:tcW w:w="2119" w:type="dxa"/>
            <w:noWrap/>
            <w:hideMark/>
          </w:tcPr>
          <w:p w:rsidR="00F36B73" w:rsidRPr="00F36B73" w:rsidRDefault="00F36B73">
            <w:r w:rsidRPr="00F36B73">
              <w:t>Fall, 2013 and Ongoing</w:t>
            </w:r>
          </w:p>
        </w:tc>
        <w:tc>
          <w:tcPr>
            <w:tcW w:w="5104" w:type="dxa"/>
            <w:gridSpan w:val="8"/>
            <w:noWrap/>
            <w:hideMark/>
          </w:tcPr>
          <w:p w:rsidR="00F36B73" w:rsidRPr="00F36B73" w:rsidRDefault="00F36B73">
            <w:r w:rsidRPr="00F36B73">
              <w:t>Assoc. VP Acad. Affairs, Academic Assessment Committee</w:t>
            </w:r>
          </w:p>
        </w:tc>
      </w:tr>
      <w:tr w:rsidR="00F36B73" w:rsidRPr="00F36B73" w:rsidTr="00F36B73">
        <w:trPr>
          <w:gridAfter w:val="2"/>
          <w:wAfter w:w="444" w:type="dxa"/>
          <w:trHeight w:val="315"/>
        </w:trPr>
        <w:tc>
          <w:tcPr>
            <w:tcW w:w="4397" w:type="dxa"/>
            <w:noWrap/>
            <w:hideMark/>
          </w:tcPr>
          <w:p w:rsidR="00F36B73" w:rsidRPr="00F36B73" w:rsidRDefault="00F36B73">
            <w:r w:rsidRPr="00F36B73">
              <w:t>Focus on Student Advising</w:t>
            </w:r>
          </w:p>
        </w:tc>
        <w:tc>
          <w:tcPr>
            <w:tcW w:w="1556" w:type="dxa"/>
            <w:noWrap/>
            <w:hideMark/>
          </w:tcPr>
          <w:p w:rsidR="00F36B73" w:rsidRPr="00F36B73" w:rsidRDefault="00F36B73" w:rsidP="00F36B73">
            <w:r w:rsidRPr="00F36B73">
              <w:t>II.2.5.2</w:t>
            </w:r>
          </w:p>
        </w:tc>
        <w:tc>
          <w:tcPr>
            <w:tcW w:w="2119" w:type="dxa"/>
            <w:noWrap/>
            <w:hideMark/>
          </w:tcPr>
          <w:p w:rsidR="00F36B73" w:rsidRPr="00F36B73" w:rsidRDefault="00F36B73">
            <w:r w:rsidRPr="00F36B73">
              <w:t>Fall, 2013 and Ongoing</w:t>
            </w:r>
          </w:p>
        </w:tc>
        <w:tc>
          <w:tcPr>
            <w:tcW w:w="2239" w:type="dxa"/>
            <w:noWrap/>
            <w:hideMark/>
          </w:tcPr>
          <w:p w:rsidR="00F36B73" w:rsidRPr="00F36B73" w:rsidRDefault="00F36B73">
            <w:r w:rsidRPr="00F36B73">
              <w:t>Deans' Council, VP SDE</w:t>
            </w:r>
          </w:p>
        </w:tc>
        <w:tc>
          <w:tcPr>
            <w:tcW w:w="955" w:type="dxa"/>
            <w:gridSpan w:val="4"/>
            <w:noWrap/>
            <w:hideMark/>
          </w:tcPr>
          <w:p w:rsidR="00F36B73" w:rsidRPr="00F36B73" w:rsidRDefault="00F36B73"/>
        </w:tc>
        <w:tc>
          <w:tcPr>
            <w:tcW w:w="955" w:type="dxa"/>
            <w:gridSpan w:val="2"/>
            <w:noWrap/>
            <w:hideMark/>
          </w:tcPr>
          <w:p w:rsidR="00F36B73" w:rsidRPr="00F36B73" w:rsidRDefault="00F36B73"/>
        </w:tc>
        <w:tc>
          <w:tcPr>
            <w:tcW w:w="955" w:type="dxa"/>
            <w:noWrap/>
            <w:hideMark/>
          </w:tcPr>
          <w:p w:rsidR="00F36B73" w:rsidRPr="00F36B73" w:rsidRDefault="00F36B73"/>
        </w:tc>
      </w:tr>
      <w:tr w:rsidR="00F36B73" w:rsidRPr="00F36B73" w:rsidTr="00F36B73">
        <w:trPr>
          <w:trHeight w:val="315"/>
        </w:trPr>
        <w:tc>
          <w:tcPr>
            <w:tcW w:w="4397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Interdisciplinarity in faculty searches</w:t>
            </w:r>
          </w:p>
        </w:tc>
        <w:tc>
          <w:tcPr>
            <w:tcW w:w="1556" w:type="dxa"/>
            <w:noWrap/>
            <w:hideMark/>
          </w:tcPr>
          <w:p w:rsidR="00F36B73" w:rsidRPr="00F36B73" w:rsidRDefault="00F36B73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II.2.3.8</w:t>
            </w:r>
          </w:p>
        </w:tc>
        <w:tc>
          <w:tcPr>
            <w:tcW w:w="211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Fall, 2014 and Ongoing</w:t>
            </w:r>
          </w:p>
        </w:tc>
        <w:tc>
          <w:tcPr>
            <w:tcW w:w="223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Deans' Council</w:t>
            </w:r>
          </w:p>
        </w:tc>
        <w:tc>
          <w:tcPr>
            <w:tcW w:w="955" w:type="dxa"/>
            <w:gridSpan w:val="4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55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22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22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36B73" w:rsidRPr="00F36B73" w:rsidTr="00F36B73">
        <w:trPr>
          <w:gridAfter w:val="3"/>
          <w:wAfter w:w="1399" w:type="dxa"/>
          <w:trHeight w:val="315"/>
        </w:trPr>
        <w:tc>
          <w:tcPr>
            <w:tcW w:w="4397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Curriculum interdisciplinarity</w:t>
            </w:r>
          </w:p>
        </w:tc>
        <w:tc>
          <w:tcPr>
            <w:tcW w:w="1556" w:type="dxa"/>
            <w:noWrap/>
            <w:hideMark/>
          </w:tcPr>
          <w:p w:rsidR="00F36B73" w:rsidRPr="00F36B73" w:rsidRDefault="00F36B73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II.2.3.8</w:t>
            </w:r>
          </w:p>
        </w:tc>
        <w:tc>
          <w:tcPr>
            <w:tcW w:w="211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Fall, 2014 and Ongoing</w:t>
            </w:r>
          </w:p>
        </w:tc>
        <w:tc>
          <w:tcPr>
            <w:tcW w:w="223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Deans' Council, Curriculum Committe, Faculty Senate</w:t>
            </w:r>
          </w:p>
        </w:tc>
        <w:tc>
          <w:tcPr>
            <w:tcW w:w="955" w:type="dxa"/>
            <w:gridSpan w:val="4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55" w:type="dxa"/>
            <w:gridSpan w:val="2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36B73" w:rsidRPr="00F36B73" w:rsidTr="00F36B73">
        <w:trPr>
          <w:gridAfter w:val="9"/>
          <w:wAfter w:w="3309" w:type="dxa"/>
          <w:trHeight w:val="315"/>
        </w:trPr>
        <w:tc>
          <w:tcPr>
            <w:tcW w:w="4397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Dual Enrollment for International Students</w:t>
            </w:r>
          </w:p>
        </w:tc>
        <w:tc>
          <w:tcPr>
            <w:tcW w:w="1556" w:type="dxa"/>
            <w:noWrap/>
            <w:hideMark/>
          </w:tcPr>
          <w:p w:rsidR="00F36B73" w:rsidRPr="00F36B73" w:rsidRDefault="00F36B73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II.3.1.3</w:t>
            </w:r>
          </w:p>
        </w:tc>
        <w:tc>
          <w:tcPr>
            <w:tcW w:w="211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Fall, 2014 and Ongoing</w:t>
            </w:r>
          </w:p>
        </w:tc>
        <w:tc>
          <w:tcPr>
            <w:tcW w:w="223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Academic Affairs, Admissions, Records, Provost, Director of International Relations</w:t>
            </w:r>
          </w:p>
        </w:tc>
      </w:tr>
      <w:tr w:rsidR="00F36B73" w:rsidRPr="00F36B73" w:rsidTr="00F36B73">
        <w:trPr>
          <w:gridAfter w:val="9"/>
          <w:wAfter w:w="3309" w:type="dxa"/>
          <w:trHeight w:val="315"/>
        </w:trPr>
        <w:tc>
          <w:tcPr>
            <w:tcW w:w="4397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Distinctive Liberal Education Experience</w:t>
            </w:r>
          </w:p>
        </w:tc>
        <w:tc>
          <w:tcPr>
            <w:tcW w:w="1556" w:type="dxa"/>
            <w:noWrap/>
            <w:hideMark/>
          </w:tcPr>
          <w:p w:rsidR="00F36B73" w:rsidRPr="00F36B73" w:rsidRDefault="00F36B73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II.2.3.1</w:t>
            </w:r>
          </w:p>
        </w:tc>
        <w:tc>
          <w:tcPr>
            <w:tcW w:w="211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Fall, 2015 and Ongoing</w:t>
            </w:r>
          </w:p>
        </w:tc>
        <w:tc>
          <w:tcPr>
            <w:tcW w:w="223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Liberal Education Committe, Deans' Council</w:t>
            </w:r>
          </w:p>
        </w:tc>
      </w:tr>
      <w:tr w:rsidR="00F36B73" w:rsidRPr="00F36B73" w:rsidTr="00F36B73">
        <w:trPr>
          <w:gridAfter w:val="9"/>
          <w:wAfter w:w="3309" w:type="dxa"/>
          <w:trHeight w:val="315"/>
        </w:trPr>
        <w:tc>
          <w:tcPr>
            <w:tcW w:w="4397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Communication across the curriculum</w:t>
            </w:r>
          </w:p>
        </w:tc>
        <w:tc>
          <w:tcPr>
            <w:tcW w:w="1556" w:type="dxa"/>
            <w:noWrap/>
            <w:hideMark/>
          </w:tcPr>
          <w:p w:rsidR="00F36B73" w:rsidRPr="00F36B73" w:rsidRDefault="00F36B73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II.2.3.3</w:t>
            </w:r>
          </w:p>
        </w:tc>
        <w:tc>
          <w:tcPr>
            <w:tcW w:w="211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Fall, 2015 and Ongoing</w:t>
            </w:r>
          </w:p>
        </w:tc>
        <w:tc>
          <w:tcPr>
            <w:tcW w:w="223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Liberal Education Committe, Deans' Council</w:t>
            </w:r>
          </w:p>
        </w:tc>
      </w:tr>
      <w:tr w:rsidR="00F36B73" w:rsidRPr="00F36B73" w:rsidTr="00F36B73">
        <w:trPr>
          <w:gridAfter w:val="9"/>
          <w:wAfter w:w="3309" w:type="dxa"/>
          <w:trHeight w:val="315"/>
        </w:trPr>
        <w:tc>
          <w:tcPr>
            <w:tcW w:w="4397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Enhanced Summer Residential Experience</w:t>
            </w:r>
          </w:p>
        </w:tc>
        <w:tc>
          <w:tcPr>
            <w:tcW w:w="1556" w:type="dxa"/>
            <w:noWrap/>
            <w:hideMark/>
          </w:tcPr>
          <w:p w:rsidR="00F36B73" w:rsidRPr="00F36B73" w:rsidRDefault="00F36B73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II.2.2.3</w:t>
            </w:r>
          </w:p>
        </w:tc>
        <w:tc>
          <w:tcPr>
            <w:tcW w:w="211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Fall, 2017 and Ongoing</w:t>
            </w:r>
          </w:p>
        </w:tc>
        <w:tc>
          <w:tcPr>
            <w:tcW w:w="223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Angie Gora</w:t>
            </w:r>
          </w:p>
        </w:tc>
      </w:tr>
      <w:tr w:rsidR="00F36B73" w:rsidRPr="00F36B73" w:rsidTr="00F36B73">
        <w:trPr>
          <w:gridAfter w:val="6"/>
          <w:wAfter w:w="3306" w:type="dxa"/>
          <w:trHeight w:val="315"/>
        </w:trPr>
        <w:tc>
          <w:tcPr>
            <w:tcW w:w="4397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Mission, Vision, Values, and Introduction</w:t>
            </w:r>
          </w:p>
        </w:tc>
        <w:tc>
          <w:tcPr>
            <w:tcW w:w="1556" w:type="dxa"/>
            <w:noWrap/>
            <w:hideMark/>
          </w:tcPr>
          <w:p w:rsidR="00F36B73" w:rsidRPr="00F36B73" w:rsidRDefault="00F36B73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I, II</w:t>
            </w:r>
          </w:p>
        </w:tc>
        <w:tc>
          <w:tcPr>
            <w:tcW w:w="211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Life of the Plan</w:t>
            </w:r>
          </w:p>
        </w:tc>
        <w:tc>
          <w:tcPr>
            <w:tcW w:w="223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 xml:space="preserve">Deans' Council, </w:t>
            </w:r>
            <w:r w:rsidRPr="00F36B73">
              <w:rPr>
                <w:rFonts w:eastAsia="Times New Roman" w:cs="Times New Roman"/>
                <w:color w:val="000000"/>
                <w:szCs w:val="24"/>
              </w:rPr>
              <w:lastRenderedPageBreak/>
              <w:t>Campus as a whole</w:t>
            </w: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36B73" w:rsidRPr="00F36B73" w:rsidTr="00F36B73">
        <w:trPr>
          <w:gridAfter w:val="4"/>
          <w:wAfter w:w="2226" w:type="dxa"/>
          <w:trHeight w:val="315"/>
        </w:trPr>
        <w:tc>
          <w:tcPr>
            <w:tcW w:w="4397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lastRenderedPageBreak/>
              <w:t>Program review- financial sustainability indicators</w:t>
            </w:r>
          </w:p>
        </w:tc>
        <w:tc>
          <w:tcPr>
            <w:tcW w:w="1556" w:type="dxa"/>
            <w:noWrap/>
            <w:hideMark/>
          </w:tcPr>
          <w:p w:rsidR="00F36B73" w:rsidRPr="00F36B73" w:rsidRDefault="00F36B73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II.1.1.4</w:t>
            </w:r>
          </w:p>
        </w:tc>
        <w:tc>
          <w:tcPr>
            <w:tcW w:w="211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  <w:tc>
          <w:tcPr>
            <w:tcW w:w="223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Deans' Council</w:t>
            </w: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36B73" w:rsidRPr="00F36B73" w:rsidTr="00F36B73">
        <w:trPr>
          <w:gridAfter w:val="4"/>
          <w:wAfter w:w="2226" w:type="dxa"/>
          <w:trHeight w:val="315"/>
        </w:trPr>
        <w:tc>
          <w:tcPr>
            <w:tcW w:w="4397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Partnerships</w:t>
            </w:r>
          </w:p>
        </w:tc>
        <w:tc>
          <w:tcPr>
            <w:tcW w:w="1556" w:type="dxa"/>
            <w:noWrap/>
            <w:hideMark/>
          </w:tcPr>
          <w:p w:rsidR="00F36B73" w:rsidRPr="00F36B73" w:rsidRDefault="00F36B73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II.1.2.3</w:t>
            </w:r>
          </w:p>
        </w:tc>
        <w:tc>
          <w:tcPr>
            <w:tcW w:w="211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  <w:tc>
          <w:tcPr>
            <w:tcW w:w="223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Deans, VP IEL</w:t>
            </w: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36B73" w:rsidRPr="00F36B73" w:rsidTr="00F36B73">
        <w:trPr>
          <w:gridAfter w:val="4"/>
          <w:wAfter w:w="2226" w:type="dxa"/>
          <w:trHeight w:val="315"/>
        </w:trPr>
        <w:tc>
          <w:tcPr>
            <w:tcW w:w="4397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Recognize exemplary service</w:t>
            </w:r>
          </w:p>
        </w:tc>
        <w:tc>
          <w:tcPr>
            <w:tcW w:w="1556" w:type="dxa"/>
            <w:noWrap/>
            <w:hideMark/>
          </w:tcPr>
          <w:p w:rsidR="00F36B73" w:rsidRPr="00F36B73" w:rsidRDefault="00F36B73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II.1.4.2</w:t>
            </w:r>
          </w:p>
        </w:tc>
        <w:tc>
          <w:tcPr>
            <w:tcW w:w="211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  <w:tc>
          <w:tcPr>
            <w:tcW w:w="223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Deans' Council, Cabinet</w:t>
            </w: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36B73" w:rsidRPr="00F36B73" w:rsidTr="00F36B73">
        <w:trPr>
          <w:gridAfter w:val="9"/>
          <w:wAfter w:w="3309" w:type="dxa"/>
          <w:trHeight w:val="315"/>
        </w:trPr>
        <w:tc>
          <w:tcPr>
            <w:tcW w:w="4397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Serving diverse populations</w:t>
            </w:r>
          </w:p>
        </w:tc>
        <w:tc>
          <w:tcPr>
            <w:tcW w:w="1556" w:type="dxa"/>
            <w:noWrap/>
            <w:hideMark/>
          </w:tcPr>
          <w:p w:rsidR="00F36B73" w:rsidRPr="00F36B73" w:rsidRDefault="00F36B73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II.2.3.4a</w:t>
            </w:r>
          </w:p>
        </w:tc>
        <w:tc>
          <w:tcPr>
            <w:tcW w:w="211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  <w:tc>
          <w:tcPr>
            <w:tcW w:w="223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Affirmative Action Officer, Deans' Council, Admissions, AVPAA</w:t>
            </w:r>
          </w:p>
        </w:tc>
      </w:tr>
      <w:tr w:rsidR="00F36B73" w:rsidRPr="00F36B73" w:rsidTr="00F36B73">
        <w:trPr>
          <w:gridAfter w:val="4"/>
          <w:wAfter w:w="2226" w:type="dxa"/>
          <w:trHeight w:val="315"/>
        </w:trPr>
        <w:tc>
          <w:tcPr>
            <w:tcW w:w="4397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Multicultural learning community</w:t>
            </w:r>
          </w:p>
        </w:tc>
        <w:tc>
          <w:tcPr>
            <w:tcW w:w="1556" w:type="dxa"/>
            <w:noWrap/>
            <w:hideMark/>
          </w:tcPr>
          <w:p w:rsidR="00F36B73" w:rsidRPr="00F36B73" w:rsidRDefault="00F36B73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II.2.3.4b</w:t>
            </w:r>
          </w:p>
        </w:tc>
        <w:tc>
          <w:tcPr>
            <w:tcW w:w="211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  <w:tc>
          <w:tcPr>
            <w:tcW w:w="223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Deans' Council, AVPAA</w:t>
            </w: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36B73" w:rsidRPr="00F36B73" w:rsidTr="00F36B73">
        <w:trPr>
          <w:gridAfter w:val="4"/>
          <w:wAfter w:w="2226" w:type="dxa"/>
          <w:trHeight w:val="315"/>
        </w:trPr>
        <w:tc>
          <w:tcPr>
            <w:tcW w:w="4397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University focus on sustainability</w:t>
            </w:r>
          </w:p>
        </w:tc>
        <w:tc>
          <w:tcPr>
            <w:tcW w:w="1556" w:type="dxa"/>
            <w:noWrap/>
            <w:hideMark/>
          </w:tcPr>
          <w:p w:rsidR="00F36B73" w:rsidRPr="00F36B73" w:rsidRDefault="00F36B73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II.2.3.9</w:t>
            </w:r>
          </w:p>
        </w:tc>
        <w:tc>
          <w:tcPr>
            <w:tcW w:w="211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  <w:tc>
          <w:tcPr>
            <w:tcW w:w="223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Vice Presidents</w:t>
            </w: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36B73" w:rsidRPr="00F36B73" w:rsidTr="00F36B73">
        <w:trPr>
          <w:gridAfter w:val="8"/>
          <w:wAfter w:w="3308" w:type="dxa"/>
          <w:trHeight w:val="315"/>
        </w:trPr>
        <w:tc>
          <w:tcPr>
            <w:tcW w:w="4397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Engage Bemidji community in internationalization efforts</w:t>
            </w:r>
          </w:p>
        </w:tc>
        <w:tc>
          <w:tcPr>
            <w:tcW w:w="1556" w:type="dxa"/>
            <w:noWrap/>
            <w:hideMark/>
          </w:tcPr>
          <w:p w:rsidR="00F36B73" w:rsidRPr="00F36B73" w:rsidRDefault="00F36B73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II.3.2.3</w:t>
            </w:r>
          </w:p>
        </w:tc>
        <w:tc>
          <w:tcPr>
            <w:tcW w:w="211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  <w:tc>
          <w:tcPr>
            <w:tcW w:w="223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Academic Affairs, VP IEL, Director of International Relations</w:t>
            </w: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36B73" w:rsidRPr="00F36B73" w:rsidTr="00F36B73">
        <w:trPr>
          <w:gridAfter w:val="4"/>
          <w:wAfter w:w="2226" w:type="dxa"/>
          <w:trHeight w:val="315"/>
        </w:trPr>
        <w:tc>
          <w:tcPr>
            <w:tcW w:w="4397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IPC, AIRC library connections with Acad. Affairs</w:t>
            </w:r>
          </w:p>
        </w:tc>
        <w:tc>
          <w:tcPr>
            <w:tcW w:w="1556" w:type="dxa"/>
            <w:noWrap/>
            <w:hideMark/>
          </w:tcPr>
          <w:p w:rsidR="00F36B73" w:rsidRPr="00F36B73" w:rsidRDefault="00F36B73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II.4.2</w:t>
            </w:r>
          </w:p>
        </w:tc>
        <w:tc>
          <w:tcPr>
            <w:tcW w:w="211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Ongoing</w:t>
            </w:r>
          </w:p>
        </w:tc>
        <w:tc>
          <w:tcPr>
            <w:tcW w:w="223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Provost, VP IEL, VP SDE</w:t>
            </w: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F36B73" w:rsidRPr="00F36B73" w:rsidTr="00F36B73">
        <w:trPr>
          <w:gridAfter w:val="4"/>
          <w:wAfter w:w="2226" w:type="dxa"/>
          <w:trHeight w:val="315"/>
        </w:trPr>
        <w:tc>
          <w:tcPr>
            <w:tcW w:w="4397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Faculty Lines</w:t>
            </w:r>
          </w:p>
        </w:tc>
        <w:tc>
          <w:tcPr>
            <w:tcW w:w="1556" w:type="dxa"/>
            <w:noWrap/>
            <w:hideMark/>
          </w:tcPr>
          <w:p w:rsidR="00F36B73" w:rsidRPr="00F36B73" w:rsidRDefault="00F36B73" w:rsidP="00F36B73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11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239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  <w:r w:rsidRPr="00F36B73">
              <w:rPr>
                <w:rFonts w:eastAsia="Times New Roman" w:cs="Times New Roman"/>
                <w:color w:val="000000"/>
                <w:szCs w:val="24"/>
              </w:rPr>
              <w:t>Deans' Council, Cabinet</w:t>
            </w: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" w:type="dxa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  <w:gridSpan w:val="2"/>
            <w:noWrap/>
            <w:hideMark/>
          </w:tcPr>
          <w:p w:rsidR="00F36B73" w:rsidRPr="00F36B73" w:rsidRDefault="00F36B73" w:rsidP="00F36B73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8A52E4" w:rsidRDefault="008A52E4"/>
    <w:sectPr w:rsidR="008A52E4" w:rsidSect="00F36B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73"/>
    <w:rsid w:val="005B148F"/>
    <w:rsid w:val="00793D1E"/>
    <w:rsid w:val="008A52E4"/>
    <w:rsid w:val="00982BE3"/>
    <w:rsid w:val="00CA3A40"/>
    <w:rsid w:val="00F36B73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D1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D1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2013-08-26T16:34:00Z</dcterms:created>
  <dcterms:modified xsi:type="dcterms:W3CDTF">2013-08-26T16:34:00Z</dcterms:modified>
</cp:coreProperties>
</file>