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18" w:rsidRPr="00824E1D" w:rsidRDefault="003B4F18" w:rsidP="003B4F18">
      <w:pPr>
        <w:rPr>
          <w:rFonts w:asciiTheme="minorHAnsi" w:hAnsiTheme="minorHAnsi"/>
          <w:szCs w:val="24"/>
        </w:rPr>
      </w:pPr>
      <w:bookmarkStart w:id="0" w:name="_GoBack"/>
      <w:bookmarkEnd w:id="0"/>
    </w:p>
    <w:p w:rsidR="003B4F18" w:rsidRPr="00824E1D" w:rsidRDefault="003B4F18" w:rsidP="003B4F18">
      <w:pPr>
        <w:jc w:val="center"/>
        <w:rPr>
          <w:rFonts w:asciiTheme="minorHAnsi" w:hAnsiTheme="minorHAnsi"/>
          <w:b/>
          <w:szCs w:val="24"/>
        </w:rPr>
      </w:pPr>
      <w:r w:rsidRPr="00824E1D">
        <w:rPr>
          <w:rFonts w:asciiTheme="minorHAnsi" w:hAnsiTheme="minorHAnsi"/>
          <w:b/>
          <w:szCs w:val="24"/>
        </w:rPr>
        <w:t>Top 3 Most Impactful Initiatives</w:t>
      </w:r>
      <w:r w:rsidR="00B349F2">
        <w:rPr>
          <w:rFonts w:asciiTheme="minorHAnsi" w:hAnsiTheme="minorHAnsi"/>
          <w:b/>
          <w:szCs w:val="24"/>
        </w:rPr>
        <w:t>- Cross walk with Priorities</w:t>
      </w:r>
    </w:p>
    <w:p w:rsidR="003B4F18" w:rsidRPr="00824E1D" w:rsidRDefault="003B4F18" w:rsidP="003B4F18">
      <w:pPr>
        <w:rPr>
          <w:rFonts w:asciiTheme="minorHAnsi" w:hAnsiTheme="minorHAnsi"/>
          <w:szCs w:val="24"/>
        </w:rPr>
      </w:pPr>
    </w:p>
    <w:p w:rsidR="003B4F18" w:rsidRPr="00824E1D" w:rsidRDefault="003B4F18" w:rsidP="003B4F18">
      <w:pPr>
        <w:pStyle w:val="ListParagraph"/>
        <w:numPr>
          <w:ilvl w:val="0"/>
          <w:numId w:val="1"/>
        </w:numPr>
        <w:rPr>
          <w:sz w:val="24"/>
          <w:szCs w:val="24"/>
        </w:rPr>
      </w:pPr>
      <w:r w:rsidRPr="00824E1D">
        <w:rPr>
          <w:sz w:val="24"/>
          <w:szCs w:val="24"/>
        </w:rPr>
        <w:t>Implement a 1 to 1 laptop/tablet program for all BSU students COUPLED with intensive professional development on integrating technology into constructivist teaching/learning environments (creating knowledge with students and teaching students how to create knowledge alone and with others).  Reasons…We live in 2014 and this is how students have grown up, so it is a natural approach for them.  Plus there is ample, historical evidence in the research and literature that a constructivist approach encourages student/faculty interactivity and student engagement in learning, and when integrated with technology, there are significant positive impacts on learning outcomes.</w:t>
      </w:r>
    </w:p>
    <w:p w:rsidR="003B4F18" w:rsidRPr="00824E1D" w:rsidRDefault="00B349F2" w:rsidP="003B4F18">
      <w:pPr>
        <w:pStyle w:val="ListParagraph"/>
        <w:numPr>
          <w:ilvl w:val="0"/>
          <w:numId w:val="1"/>
        </w:numPr>
        <w:rPr>
          <w:sz w:val="24"/>
          <w:szCs w:val="24"/>
        </w:rPr>
      </w:pPr>
      <w:r w:rsidRPr="00B349F2">
        <w:rPr>
          <w:sz w:val="24"/>
          <w:szCs w:val="24"/>
          <w:highlight w:val="yellow"/>
        </w:rPr>
        <w:t>Crosswalk- #1.</w:t>
      </w:r>
      <w:r>
        <w:rPr>
          <w:sz w:val="24"/>
          <w:szCs w:val="24"/>
        </w:rPr>
        <w:t xml:space="preserve">  </w:t>
      </w:r>
      <w:r w:rsidR="003B4F18" w:rsidRPr="00824E1D">
        <w:rPr>
          <w:sz w:val="24"/>
          <w:szCs w:val="24"/>
        </w:rPr>
        <w:t>Intrusive and pervasive academic advising from entrance through commencement of the baccalaureate with continuation into graduate school, which to me means securing funding for a university student success center that supports this effort by providing professional advisers to work with faculty.</w:t>
      </w:r>
    </w:p>
    <w:p w:rsidR="003B4F18" w:rsidRPr="00824E1D" w:rsidRDefault="00B349F2" w:rsidP="003B4F18">
      <w:pPr>
        <w:pStyle w:val="ListParagraph"/>
        <w:numPr>
          <w:ilvl w:val="0"/>
          <w:numId w:val="1"/>
        </w:numPr>
        <w:rPr>
          <w:sz w:val="24"/>
          <w:szCs w:val="24"/>
        </w:rPr>
      </w:pPr>
      <w:r w:rsidRPr="00B349F2">
        <w:rPr>
          <w:sz w:val="24"/>
          <w:szCs w:val="24"/>
          <w:u w:val="single"/>
        </w:rPr>
        <w:t>See also #16.</w:t>
      </w:r>
      <w:r>
        <w:rPr>
          <w:sz w:val="24"/>
          <w:szCs w:val="24"/>
        </w:rPr>
        <w:t xml:space="preserve">  </w:t>
      </w:r>
      <w:r w:rsidR="003B4F18" w:rsidRPr="00824E1D">
        <w:rPr>
          <w:sz w:val="24"/>
          <w:szCs w:val="24"/>
        </w:rPr>
        <w:t>All eligible BSU graduates (eligibility based upon requirements already in place) spend at least a month abroad during their sophomore or junior year, planned into their scheduled during their freshman year, and integrated into the curriculum either through their major or through another credential such as a certificate or minor in international relations.</w:t>
      </w:r>
    </w:p>
    <w:p w:rsidR="00A00CB4" w:rsidRPr="00824E1D" w:rsidRDefault="00B349F2" w:rsidP="00A00CB4">
      <w:pPr>
        <w:pStyle w:val="ListParagraph"/>
        <w:numPr>
          <w:ilvl w:val="0"/>
          <w:numId w:val="1"/>
        </w:numPr>
        <w:rPr>
          <w:sz w:val="24"/>
          <w:szCs w:val="24"/>
        </w:rPr>
      </w:pPr>
      <w:r w:rsidRPr="00B349F2">
        <w:rPr>
          <w:sz w:val="24"/>
          <w:szCs w:val="24"/>
          <w:highlight w:val="yellow"/>
        </w:rPr>
        <w:t>Crosswalk #1.</w:t>
      </w:r>
      <w:r>
        <w:rPr>
          <w:sz w:val="24"/>
          <w:szCs w:val="24"/>
        </w:rPr>
        <w:t xml:space="preserve">  </w:t>
      </w:r>
      <w:r w:rsidR="00A00CB4" w:rsidRPr="00824E1D">
        <w:rPr>
          <w:sz w:val="24"/>
          <w:szCs w:val="24"/>
        </w:rPr>
        <w:t>Enhancing student academic advising.   An initial piece might be some information gathering using the attached inventory.  Mary Ward may be a useful resource person- I believe her dissertation was about student advising.</w:t>
      </w:r>
    </w:p>
    <w:p w:rsidR="00A00CB4" w:rsidRPr="00824E1D" w:rsidRDefault="00B349F2" w:rsidP="00A00CB4">
      <w:pPr>
        <w:pStyle w:val="ListParagraph"/>
        <w:numPr>
          <w:ilvl w:val="0"/>
          <w:numId w:val="1"/>
        </w:numPr>
        <w:rPr>
          <w:sz w:val="24"/>
          <w:szCs w:val="24"/>
        </w:rPr>
      </w:pPr>
      <w:r w:rsidRPr="00B349F2">
        <w:rPr>
          <w:sz w:val="24"/>
          <w:szCs w:val="24"/>
          <w:highlight w:val="yellow"/>
        </w:rPr>
        <w:t>Crosswalk #5.</w:t>
      </w:r>
      <w:r>
        <w:rPr>
          <w:sz w:val="24"/>
          <w:szCs w:val="24"/>
        </w:rPr>
        <w:t xml:space="preserve">  </w:t>
      </w:r>
      <w:r w:rsidR="00A00CB4" w:rsidRPr="00824E1D">
        <w:rPr>
          <w:sz w:val="24"/>
          <w:szCs w:val="24"/>
        </w:rPr>
        <w:t>Consider focusing more on freshmen courses and the freshmen college experience.  In many cases, we have allowed our most junior faculty to teach large liberal education course sections, in part to subsidize smaller upper division courses taught by senior faculty.  It might be time to reconsider whether changing that practice would benefit students.</w:t>
      </w:r>
    </w:p>
    <w:p w:rsidR="00201855" w:rsidRPr="00824E1D" w:rsidRDefault="00B349F2" w:rsidP="00201855">
      <w:pPr>
        <w:pStyle w:val="ListParagraph"/>
        <w:numPr>
          <w:ilvl w:val="0"/>
          <w:numId w:val="1"/>
        </w:numPr>
        <w:rPr>
          <w:sz w:val="24"/>
          <w:szCs w:val="24"/>
        </w:rPr>
      </w:pPr>
      <w:r w:rsidRPr="00B349F2">
        <w:rPr>
          <w:sz w:val="24"/>
          <w:szCs w:val="24"/>
          <w:highlight w:val="yellow"/>
        </w:rPr>
        <w:t>Crosswalk #7.</w:t>
      </w:r>
      <w:r>
        <w:rPr>
          <w:sz w:val="24"/>
          <w:szCs w:val="24"/>
        </w:rPr>
        <w:t xml:space="preserve">  </w:t>
      </w:r>
      <w:r w:rsidR="00A00CB4" w:rsidRPr="00824E1D">
        <w:rPr>
          <w:sz w:val="24"/>
          <w:szCs w:val="24"/>
        </w:rPr>
        <w:t>Revamp liberal education to focus more on the high impact practices in LEAP- particularly common intellectual experiences, writing-intensive courses, and collaborative assignments.</w:t>
      </w:r>
    </w:p>
    <w:p w:rsidR="00201855" w:rsidRPr="00824E1D" w:rsidRDefault="00B349F2" w:rsidP="00201855">
      <w:pPr>
        <w:pStyle w:val="ListParagraph"/>
        <w:numPr>
          <w:ilvl w:val="0"/>
          <w:numId w:val="1"/>
        </w:numPr>
        <w:rPr>
          <w:sz w:val="24"/>
          <w:szCs w:val="24"/>
        </w:rPr>
      </w:pPr>
      <w:r w:rsidRPr="00B349F2">
        <w:rPr>
          <w:sz w:val="24"/>
          <w:szCs w:val="24"/>
          <w:highlight w:val="yellow"/>
        </w:rPr>
        <w:t>Crosswalk #1.</w:t>
      </w:r>
      <w:r>
        <w:rPr>
          <w:sz w:val="24"/>
          <w:szCs w:val="24"/>
        </w:rPr>
        <w:t xml:space="preserve">  </w:t>
      </w:r>
      <w:r w:rsidR="00201855" w:rsidRPr="00824E1D">
        <w:rPr>
          <w:sz w:val="24"/>
          <w:szCs w:val="24"/>
        </w:rPr>
        <w:t>Develop a meaningful, useable orientation “course” for all online transfer students to help them successfully navigate BSU as an online learner (not just D2L); use this course as a way to connect with students after they register for courses to learn what kind of continued support they need as online learners.</w:t>
      </w:r>
    </w:p>
    <w:p w:rsidR="00201855" w:rsidRPr="00824E1D" w:rsidRDefault="00201855" w:rsidP="00201855">
      <w:pPr>
        <w:pStyle w:val="ListParagraph"/>
        <w:numPr>
          <w:ilvl w:val="0"/>
          <w:numId w:val="1"/>
        </w:numPr>
        <w:rPr>
          <w:sz w:val="24"/>
          <w:szCs w:val="24"/>
        </w:rPr>
      </w:pPr>
      <w:r w:rsidRPr="00824E1D">
        <w:rPr>
          <w:sz w:val="24"/>
          <w:szCs w:val="24"/>
        </w:rPr>
        <w:t>Contact all non-completers at BSU, to determine how each can complete an AA or BS/BA degree from BSU (steal ideas from Graduate MN)</w:t>
      </w:r>
    </w:p>
    <w:p w:rsidR="00201855" w:rsidRPr="00824E1D" w:rsidRDefault="00201855" w:rsidP="00201855">
      <w:pPr>
        <w:pStyle w:val="ListParagraph"/>
        <w:numPr>
          <w:ilvl w:val="0"/>
          <w:numId w:val="1"/>
        </w:numPr>
        <w:rPr>
          <w:sz w:val="24"/>
          <w:szCs w:val="24"/>
        </w:rPr>
      </w:pPr>
      <w:r w:rsidRPr="00824E1D">
        <w:rPr>
          <w:sz w:val="24"/>
          <w:szCs w:val="24"/>
        </w:rPr>
        <w:t>Expand credit for prior learning options – help academic departments understand and embrace this possibility, increase awareness among returning students, create an online course/workshop to assist student with the process of prior credit evaluation.</w:t>
      </w:r>
    </w:p>
    <w:p w:rsidR="0002674C" w:rsidRPr="00824E1D" w:rsidRDefault="00B349F2" w:rsidP="0002674C">
      <w:pPr>
        <w:pStyle w:val="ListParagraph"/>
        <w:numPr>
          <w:ilvl w:val="0"/>
          <w:numId w:val="1"/>
        </w:numPr>
        <w:rPr>
          <w:sz w:val="24"/>
          <w:szCs w:val="24"/>
        </w:rPr>
      </w:pPr>
      <w:r w:rsidRPr="00B349F2">
        <w:rPr>
          <w:sz w:val="24"/>
          <w:szCs w:val="24"/>
          <w:highlight w:val="yellow"/>
        </w:rPr>
        <w:t>Crosswalk #8.</w:t>
      </w:r>
      <w:r>
        <w:rPr>
          <w:sz w:val="24"/>
          <w:szCs w:val="24"/>
        </w:rPr>
        <w:t xml:space="preserve">  </w:t>
      </w:r>
      <w:r w:rsidR="0002674C" w:rsidRPr="00824E1D">
        <w:rPr>
          <w:sz w:val="24"/>
          <w:szCs w:val="24"/>
        </w:rPr>
        <w:t xml:space="preserve">Intentionally implement “High Impact Practices” from AACU’s LEAP.  </w:t>
      </w:r>
      <w:hyperlink r:id="rId6" w:history="1">
        <w:r w:rsidR="0002674C" w:rsidRPr="00824E1D">
          <w:rPr>
            <w:rStyle w:val="Hyperlink"/>
            <w:color w:val="auto"/>
            <w:sz w:val="24"/>
            <w:szCs w:val="24"/>
          </w:rPr>
          <w:t>http://www.aacu.org/leap/hip.cfm</w:t>
        </w:r>
      </w:hyperlink>
      <w:r w:rsidR="0002674C" w:rsidRPr="00824E1D">
        <w:rPr>
          <w:sz w:val="24"/>
          <w:szCs w:val="24"/>
        </w:rPr>
        <w:t xml:space="preserve">.  This would cover internships, undergraduate research, study abroad, senior capstone, learning communities, etc…  </w:t>
      </w:r>
    </w:p>
    <w:p w:rsidR="0002674C" w:rsidRPr="00824E1D" w:rsidRDefault="00B349F2" w:rsidP="0002674C">
      <w:pPr>
        <w:pStyle w:val="ListParagraph"/>
        <w:numPr>
          <w:ilvl w:val="0"/>
          <w:numId w:val="1"/>
        </w:numPr>
        <w:rPr>
          <w:sz w:val="24"/>
          <w:szCs w:val="24"/>
        </w:rPr>
      </w:pPr>
      <w:r w:rsidRPr="00B349F2">
        <w:rPr>
          <w:sz w:val="24"/>
          <w:szCs w:val="24"/>
          <w:highlight w:val="yellow"/>
        </w:rPr>
        <w:lastRenderedPageBreak/>
        <w:t>Crosswalk #1.</w:t>
      </w:r>
      <w:r>
        <w:rPr>
          <w:sz w:val="24"/>
          <w:szCs w:val="24"/>
        </w:rPr>
        <w:t xml:space="preserve">  </w:t>
      </w:r>
      <w:r w:rsidR="0002674C" w:rsidRPr="00824E1D">
        <w:rPr>
          <w:sz w:val="24"/>
          <w:szCs w:val="24"/>
        </w:rPr>
        <w:t>Provide opportunities for students to engage with a major during their first semester, in partnership with faculty and upper-division students. (SEMP Goal 7, Objective 4, Strategy 1)</w:t>
      </w:r>
    </w:p>
    <w:p w:rsidR="0002674C" w:rsidRPr="00824E1D" w:rsidRDefault="00B349F2" w:rsidP="0002674C">
      <w:pPr>
        <w:pStyle w:val="ListParagraph"/>
        <w:numPr>
          <w:ilvl w:val="0"/>
          <w:numId w:val="1"/>
        </w:numPr>
        <w:rPr>
          <w:sz w:val="24"/>
          <w:szCs w:val="24"/>
        </w:rPr>
      </w:pPr>
      <w:r w:rsidRPr="00B349F2">
        <w:rPr>
          <w:sz w:val="24"/>
          <w:szCs w:val="24"/>
          <w:highlight w:val="yellow"/>
        </w:rPr>
        <w:t>Crosswalk #1.</w:t>
      </w:r>
      <w:r>
        <w:rPr>
          <w:sz w:val="24"/>
          <w:szCs w:val="24"/>
        </w:rPr>
        <w:t xml:space="preserve">  </w:t>
      </w:r>
      <w:r w:rsidR="0002674C" w:rsidRPr="00824E1D">
        <w:rPr>
          <w:sz w:val="24"/>
          <w:szCs w:val="24"/>
        </w:rPr>
        <w:t>Establish an academic course outline, by semester, for every major. This outline will be published in appropriate forums to ensure student access. (SEMP Goal 1, Objective 1, Strategy 1)</w:t>
      </w:r>
    </w:p>
    <w:p w:rsidR="00ED3EFE" w:rsidRPr="00824E1D" w:rsidRDefault="00B349F2" w:rsidP="00ED3EFE">
      <w:pPr>
        <w:pStyle w:val="ListParagraph"/>
        <w:numPr>
          <w:ilvl w:val="0"/>
          <w:numId w:val="1"/>
        </w:numPr>
        <w:rPr>
          <w:sz w:val="24"/>
          <w:szCs w:val="24"/>
        </w:rPr>
      </w:pPr>
      <w:r w:rsidRPr="00B349F2">
        <w:rPr>
          <w:sz w:val="24"/>
          <w:szCs w:val="24"/>
          <w:highlight w:val="yellow"/>
        </w:rPr>
        <w:t>Crosswalk #8.</w:t>
      </w:r>
      <w:r>
        <w:rPr>
          <w:sz w:val="24"/>
          <w:szCs w:val="24"/>
        </w:rPr>
        <w:t xml:space="preserve">  </w:t>
      </w:r>
      <w:r w:rsidR="00ED3EFE" w:rsidRPr="00824E1D">
        <w:rPr>
          <w:sz w:val="24"/>
          <w:szCs w:val="24"/>
        </w:rPr>
        <w:t>Expand the use and interaction of living learning communities in the residential halls and for community engagement. Sophomores, juniors and seniors with living learning groups that include profession, recreation, and service would be great (include community experts).</w:t>
      </w:r>
    </w:p>
    <w:p w:rsidR="00ED3EFE" w:rsidRPr="00824E1D" w:rsidRDefault="00B349F2" w:rsidP="00ED3EFE">
      <w:pPr>
        <w:pStyle w:val="ListParagraph"/>
        <w:numPr>
          <w:ilvl w:val="0"/>
          <w:numId w:val="1"/>
        </w:numPr>
        <w:rPr>
          <w:sz w:val="24"/>
          <w:szCs w:val="24"/>
        </w:rPr>
      </w:pPr>
      <w:r w:rsidRPr="00B349F2">
        <w:rPr>
          <w:sz w:val="24"/>
          <w:szCs w:val="24"/>
          <w:highlight w:val="yellow"/>
        </w:rPr>
        <w:t>Crosswalk #1.</w:t>
      </w:r>
      <w:r>
        <w:rPr>
          <w:sz w:val="24"/>
          <w:szCs w:val="24"/>
        </w:rPr>
        <w:t xml:space="preserve">  </w:t>
      </w:r>
      <w:r w:rsidR="00ED3EFE" w:rsidRPr="00824E1D">
        <w:rPr>
          <w:sz w:val="24"/>
          <w:szCs w:val="24"/>
        </w:rPr>
        <w:t>I agree with this one - Intrusive and pervasive academic advising from entrance through commencement of the baccalaureate with continuation into graduate school, which to me means securing funding for a university student success center that supports this effort by providing professional advisers to work with faculty.</w:t>
      </w:r>
    </w:p>
    <w:p w:rsidR="00824E1D" w:rsidRPr="00824E1D" w:rsidRDefault="00B349F2" w:rsidP="00824E1D">
      <w:pPr>
        <w:pStyle w:val="ListParagraph"/>
        <w:numPr>
          <w:ilvl w:val="0"/>
          <w:numId w:val="1"/>
        </w:numPr>
        <w:rPr>
          <w:sz w:val="24"/>
          <w:szCs w:val="24"/>
        </w:rPr>
      </w:pPr>
      <w:r w:rsidRPr="00B349F2">
        <w:rPr>
          <w:sz w:val="24"/>
          <w:szCs w:val="24"/>
          <w:highlight w:val="yellow"/>
        </w:rPr>
        <w:t>Crosswalk #5, #7.</w:t>
      </w:r>
      <w:r>
        <w:rPr>
          <w:sz w:val="24"/>
          <w:szCs w:val="24"/>
        </w:rPr>
        <w:t xml:space="preserve">  </w:t>
      </w:r>
      <w:r w:rsidR="00ED3EFE" w:rsidRPr="00824E1D">
        <w:rPr>
          <w:sz w:val="24"/>
          <w:szCs w:val="24"/>
        </w:rPr>
        <w:t xml:space="preserve">Expand the concept of “honors” to the colleges/schools – create a flexible approach to achieving the honors lib ed outcomes. We currently have a lot of students coming in “honors eligible” who cannot fit the scheduling of the honors courses because they have a professional plan that includes required courses and community activities. </w:t>
      </w:r>
    </w:p>
    <w:p w:rsidR="00824E1D" w:rsidRPr="00824E1D" w:rsidRDefault="00B349F2" w:rsidP="00824E1D">
      <w:pPr>
        <w:pStyle w:val="ListParagraph"/>
        <w:numPr>
          <w:ilvl w:val="0"/>
          <w:numId w:val="1"/>
        </w:numPr>
        <w:rPr>
          <w:sz w:val="24"/>
          <w:szCs w:val="24"/>
        </w:rPr>
      </w:pPr>
      <w:r w:rsidRPr="00B349F2">
        <w:rPr>
          <w:b/>
          <w:sz w:val="24"/>
          <w:szCs w:val="24"/>
          <w:u w:val="single"/>
        </w:rPr>
        <w:t xml:space="preserve">See also #3. </w:t>
      </w:r>
      <w:r>
        <w:rPr>
          <w:b/>
          <w:sz w:val="24"/>
          <w:szCs w:val="24"/>
        </w:rPr>
        <w:t xml:space="preserve"> </w:t>
      </w:r>
      <w:r w:rsidR="00824E1D" w:rsidRPr="00824E1D">
        <w:rPr>
          <w:b/>
          <w:sz w:val="24"/>
          <w:szCs w:val="24"/>
        </w:rPr>
        <w:t>Global Opportunities</w:t>
      </w:r>
      <w:r w:rsidR="00824E1D" w:rsidRPr="00824E1D">
        <w:rPr>
          <w:sz w:val="24"/>
          <w:szCs w:val="24"/>
        </w:rPr>
        <w:t xml:space="preserve"> – Experiencing the world through education beyond BSU is vital in better preparing our citizen workers of the future. I would love to see this a mandate that all our students have this opportunity.  This should not be for just those who can afford it.  We must make this cost effective for every student. The impact would be more worldly human beings with broader global perspectives on numerous issues.</w:t>
      </w:r>
    </w:p>
    <w:p w:rsidR="00824E1D" w:rsidRPr="00824E1D" w:rsidRDefault="00861764" w:rsidP="00824E1D">
      <w:pPr>
        <w:pStyle w:val="ListParagraph"/>
        <w:numPr>
          <w:ilvl w:val="0"/>
          <w:numId w:val="1"/>
        </w:numPr>
        <w:rPr>
          <w:sz w:val="24"/>
          <w:szCs w:val="24"/>
        </w:rPr>
      </w:pPr>
      <w:r w:rsidRPr="00861764">
        <w:rPr>
          <w:b/>
          <w:sz w:val="24"/>
          <w:szCs w:val="24"/>
          <w:highlight w:val="yellow"/>
        </w:rPr>
        <w:t>Crosswalk #1?.</w:t>
      </w:r>
      <w:r>
        <w:rPr>
          <w:b/>
          <w:sz w:val="24"/>
          <w:szCs w:val="24"/>
        </w:rPr>
        <w:t xml:space="preserve"> </w:t>
      </w:r>
      <w:r w:rsidR="00824E1D" w:rsidRPr="00824E1D">
        <w:rPr>
          <w:b/>
          <w:sz w:val="24"/>
          <w:szCs w:val="24"/>
        </w:rPr>
        <w:t>American Indian Community Initiatives</w:t>
      </w:r>
      <w:r w:rsidR="00824E1D" w:rsidRPr="00824E1D">
        <w:rPr>
          <w:sz w:val="24"/>
          <w:szCs w:val="24"/>
        </w:rPr>
        <w:t xml:space="preserve"> – We need to seek every opportunity to infuse information and develop partnerships with our AI communities.  We need to seek an infusion of culturally responsiveness in each BSU</w:t>
      </w:r>
      <w:r w:rsidR="00B349F2">
        <w:rPr>
          <w:sz w:val="24"/>
          <w:szCs w:val="24"/>
        </w:rPr>
        <w:t xml:space="preserve"> </w:t>
      </w:r>
      <w:r w:rsidR="00824E1D" w:rsidRPr="00824E1D">
        <w:rPr>
          <w:sz w:val="24"/>
          <w:szCs w:val="24"/>
        </w:rPr>
        <w:t>class/ effort so that it is no longer seen as supplemental.  These efforts should result in enhanced IA student recruitment and retaining as well as better preparing all campus students to interact more effectively with members of our increasingly diverse world.</w:t>
      </w:r>
    </w:p>
    <w:p w:rsidR="00824E1D" w:rsidRPr="00824E1D" w:rsidRDefault="00824E1D" w:rsidP="00824E1D">
      <w:pPr>
        <w:pStyle w:val="ListParagraph"/>
        <w:numPr>
          <w:ilvl w:val="0"/>
          <w:numId w:val="1"/>
        </w:numPr>
        <w:rPr>
          <w:sz w:val="24"/>
          <w:szCs w:val="24"/>
        </w:rPr>
      </w:pPr>
      <w:r w:rsidRPr="00824E1D">
        <w:rPr>
          <w:b/>
          <w:sz w:val="24"/>
          <w:szCs w:val="24"/>
        </w:rPr>
        <w:t>Enhanced Education Program at BSU</w:t>
      </w:r>
      <w:r w:rsidRPr="00824E1D">
        <w:rPr>
          <w:sz w:val="24"/>
          <w:szCs w:val="24"/>
        </w:rPr>
        <w:t xml:space="preserve"> - Pro Education has a long way to go to get back in the game.  We need to ensure we offer a cutting edge, research-based teaching education program that is tied with appropriate clinical practice. We need to enhance our image in the community and strengthen our relationship with Beltrami District and other local districts. We need to connect with two-year programs that ready the students that we take the next steps.  We have to get in the early childhood game. If we get it right for our youngest then we resolve issues down the road.  We need to look at several key endorsements such as ESL and American Indian Studies. This should grow our program and enhance our college with great number of students at the undergraduate and graduate levels.</w:t>
      </w:r>
    </w:p>
    <w:p w:rsidR="00ED3EFE" w:rsidRPr="00824E1D" w:rsidRDefault="00ED3EFE" w:rsidP="00ED3EFE">
      <w:pPr>
        <w:ind w:left="360"/>
        <w:rPr>
          <w:rFonts w:asciiTheme="minorHAnsi" w:hAnsiTheme="minorHAnsi"/>
          <w:szCs w:val="24"/>
        </w:rPr>
      </w:pPr>
    </w:p>
    <w:p w:rsidR="0002674C" w:rsidRPr="00824E1D" w:rsidRDefault="0002674C" w:rsidP="0002674C">
      <w:pPr>
        <w:ind w:left="360"/>
        <w:rPr>
          <w:rFonts w:asciiTheme="minorHAnsi" w:hAnsiTheme="minorHAnsi"/>
          <w:szCs w:val="24"/>
        </w:rPr>
      </w:pPr>
    </w:p>
    <w:p w:rsidR="00201855" w:rsidRPr="00824E1D" w:rsidRDefault="00201855" w:rsidP="00201855">
      <w:pPr>
        <w:rPr>
          <w:rFonts w:asciiTheme="minorHAnsi" w:hAnsiTheme="minorHAnsi"/>
          <w:szCs w:val="24"/>
        </w:rPr>
      </w:pPr>
    </w:p>
    <w:sectPr w:rsidR="00201855" w:rsidRPr="00824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72297"/>
    <w:multiLevelType w:val="hybridMultilevel"/>
    <w:tmpl w:val="A7087A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80B553F"/>
    <w:multiLevelType w:val="hybridMultilevel"/>
    <w:tmpl w:val="754AF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91F6276"/>
    <w:multiLevelType w:val="hybridMultilevel"/>
    <w:tmpl w:val="17D0E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9150C12"/>
    <w:multiLevelType w:val="hybridMultilevel"/>
    <w:tmpl w:val="A98E30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18"/>
    <w:rsid w:val="0002674C"/>
    <w:rsid w:val="00201855"/>
    <w:rsid w:val="003B4F18"/>
    <w:rsid w:val="005F367F"/>
    <w:rsid w:val="006B7803"/>
    <w:rsid w:val="0075014B"/>
    <w:rsid w:val="00793D1E"/>
    <w:rsid w:val="00824E1D"/>
    <w:rsid w:val="00861764"/>
    <w:rsid w:val="008A52E4"/>
    <w:rsid w:val="009768B6"/>
    <w:rsid w:val="00982BE3"/>
    <w:rsid w:val="009C6685"/>
    <w:rsid w:val="009C7F6B"/>
    <w:rsid w:val="00A00CB4"/>
    <w:rsid w:val="00B349F2"/>
    <w:rsid w:val="00ED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D1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F18"/>
    <w:pPr>
      <w:ind w:left="720"/>
    </w:pPr>
    <w:rPr>
      <w:rFonts w:asciiTheme="minorHAnsi" w:hAnsiTheme="minorHAnsi"/>
      <w:sz w:val="22"/>
    </w:rPr>
  </w:style>
  <w:style w:type="character" w:styleId="Hyperlink">
    <w:name w:val="Hyperlink"/>
    <w:basedOn w:val="DefaultParagraphFont"/>
    <w:uiPriority w:val="99"/>
    <w:semiHidden/>
    <w:unhideWhenUsed/>
    <w:rsid w:val="0002674C"/>
    <w:rPr>
      <w:color w:val="0000FF"/>
      <w:u w:val="single"/>
    </w:rPr>
  </w:style>
  <w:style w:type="paragraph" w:styleId="BalloonText">
    <w:name w:val="Balloon Text"/>
    <w:basedOn w:val="Normal"/>
    <w:link w:val="BalloonTextChar"/>
    <w:uiPriority w:val="99"/>
    <w:semiHidden/>
    <w:unhideWhenUsed/>
    <w:rsid w:val="009C6685"/>
    <w:rPr>
      <w:rFonts w:ascii="Tahoma" w:hAnsi="Tahoma" w:cs="Tahoma"/>
      <w:sz w:val="16"/>
      <w:szCs w:val="16"/>
    </w:rPr>
  </w:style>
  <w:style w:type="character" w:customStyle="1" w:styleId="BalloonTextChar">
    <w:name w:val="Balloon Text Char"/>
    <w:basedOn w:val="DefaultParagraphFont"/>
    <w:link w:val="BalloonText"/>
    <w:uiPriority w:val="99"/>
    <w:semiHidden/>
    <w:rsid w:val="009C66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D1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F18"/>
    <w:pPr>
      <w:ind w:left="720"/>
    </w:pPr>
    <w:rPr>
      <w:rFonts w:asciiTheme="minorHAnsi" w:hAnsiTheme="minorHAnsi"/>
      <w:sz w:val="22"/>
    </w:rPr>
  </w:style>
  <w:style w:type="character" w:styleId="Hyperlink">
    <w:name w:val="Hyperlink"/>
    <w:basedOn w:val="DefaultParagraphFont"/>
    <w:uiPriority w:val="99"/>
    <w:semiHidden/>
    <w:unhideWhenUsed/>
    <w:rsid w:val="0002674C"/>
    <w:rPr>
      <w:color w:val="0000FF"/>
      <w:u w:val="single"/>
    </w:rPr>
  </w:style>
  <w:style w:type="paragraph" w:styleId="BalloonText">
    <w:name w:val="Balloon Text"/>
    <w:basedOn w:val="Normal"/>
    <w:link w:val="BalloonTextChar"/>
    <w:uiPriority w:val="99"/>
    <w:semiHidden/>
    <w:unhideWhenUsed/>
    <w:rsid w:val="009C6685"/>
    <w:rPr>
      <w:rFonts w:ascii="Tahoma" w:hAnsi="Tahoma" w:cs="Tahoma"/>
      <w:sz w:val="16"/>
      <w:szCs w:val="16"/>
    </w:rPr>
  </w:style>
  <w:style w:type="character" w:customStyle="1" w:styleId="BalloonTextChar">
    <w:name w:val="Balloon Text Char"/>
    <w:basedOn w:val="DefaultParagraphFont"/>
    <w:link w:val="BalloonText"/>
    <w:uiPriority w:val="99"/>
    <w:semiHidden/>
    <w:rsid w:val="009C66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92119">
      <w:bodyDiv w:val="1"/>
      <w:marLeft w:val="0"/>
      <w:marRight w:val="0"/>
      <w:marTop w:val="0"/>
      <w:marBottom w:val="0"/>
      <w:divBdr>
        <w:top w:val="none" w:sz="0" w:space="0" w:color="auto"/>
        <w:left w:val="none" w:sz="0" w:space="0" w:color="auto"/>
        <w:bottom w:val="none" w:sz="0" w:space="0" w:color="auto"/>
        <w:right w:val="none" w:sz="0" w:space="0" w:color="auto"/>
      </w:divBdr>
    </w:div>
    <w:div w:id="781999530">
      <w:bodyDiv w:val="1"/>
      <w:marLeft w:val="0"/>
      <w:marRight w:val="0"/>
      <w:marTop w:val="0"/>
      <w:marBottom w:val="0"/>
      <w:divBdr>
        <w:top w:val="none" w:sz="0" w:space="0" w:color="auto"/>
        <w:left w:val="none" w:sz="0" w:space="0" w:color="auto"/>
        <w:bottom w:val="none" w:sz="0" w:space="0" w:color="auto"/>
        <w:right w:val="none" w:sz="0" w:space="0" w:color="auto"/>
      </w:divBdr>
    </w:div>
    <w:div w:id="1213927333">
      <w:bodyDiv w:val="1"/>
      <w:marLeft w:val="0"/>
      <w:marRight w:val="0"/>
      <w:marTop w:val="0"/>
      <w:marBottom w:val="0"/>
      <w:divBdr>
        <w:top w:val="none" w:sz="0" w:space="0" w:color="auto"/>
        <w:left w:val="none" w:sz="0" w:space="0" w:color="auto"/>
        <w:bottom w:val="none" w:sz="0" w:space="0" w:color="auto"/>
        <w:right w:val="none" w:sz="0" w:space="0" w:color="auto"/>
      </w:divBdr>
    </w:div>
    <w:div w:id="1708606689">
      <w:bodyDiv w:val="1"/>
      <w:marLeft w:val="0"/>
      <w:marRight w:val="0"/>
      <w:marTop w:val="0"/>
      <w:marBottom w:val="0"/>
      <w:divBdr>
        <w:top w:val="none" w:sz="0" w:space="0" w:color="auto"/>
        <w:left w:val="none" w:sz="0" w:space="0" w:color="auto"/>
        <w:bottom w:val="none" w:sz="0" w:space="0" w:color="auto"/>
        <w:right w:val="none" w:sz="0" w:space="0" w:color="auto"/>
      </w:divBdr>
    </w:div>
    <w:div w:id="177452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cu.org/leap/hip.cf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2014-06-04T16:54:00Z</cp:lastPrinted>
  <dcterms:created xsi:type="dcterms:W3CDTF">2014-08-05T11:43:00Z</dcterms:created>
  <dcterms:modified xsi:type="dcterms:W3CDTF">2014-08-05T11:43:00Z</dcterms:modified>
</cp:coreProperties>
</file>