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59C46D93">
            <wp:extent cx="3406166" cy="9152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917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BB601F" w14:textId="5FAC92F7" w:rsidR="00A877AE" w:rsidRPr="0000244E" w:rsidRDefault="00A877AE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4D63488C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3ABE933" w14:textId="67ADFF7C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  <w:r w:rsidR="007A2AF3">
        <w:rPr>
          <w:rFonts w:asciiTheme="minorHAnsi" w:hAnsiTheme="minorHAnsi" w:cstheme="minorHAnsi"/>
          <w:b/>
          <w:sz w:val="24"/>
          <w:szCs w:val="24"/>
        </w:rPr>
        <w:tab/>
      </w:r>
      <w:r w:rsidR="00FB340B">
        <w:rPr>
          <w:rFonts w:asciiTheme="minorHAnsi" w:hAnsiTheme="minorHAnsi" w:cstheme="minorHAnsi"/>
          <w:b/>
          <w:sz w:val="24"/>
          <w:szCs w:val="24"/>
        </w:rPr>
        <w:t>Bemidji State University</w:t>
      </w:r>
    </w:p>
    <w:p w14:paraId="351E1A14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DB2EDB" w14:textId="59CB429D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  <w:r w:rsidR="00FB340B">
        <w:rPr>
          <w:rFonts w:asciiTheme="minorHAnsi" w:hAnsiTheme="minorHAnsi" w:cstheme="minorHAnsi"/>
          <w:b/>
          <w:sz w:val="24"/>
          <w:szCs w:val="24"/>
        </w:rPr>
        <w:t xml:space="preserve"> College of Business, Mathematics and Science</w:t>
      </w:r>
    </w:p>
    <w:p w14:paraId="19A16D3D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60E8834B" w14:textId="3D833F1B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00244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2AF3" w:rsidRPr="007A2AF3">
        <w:rPr>
          <w:rFonts w:asciiTheme="minorHAnsi" w:hAnsiTheme="minorHAnsi" w:cstheme="minorHAnsi"/>
          <w:bCs/>
          <w:sz w:val="24"/>
          <w:szCs w:val="24"/>
        </w:rPr>
        <w:t>2021-22</w:t>
      </w:r>
    </w:p>
    <w:p w14:paraId="5301AEAF" w14:textId="77777777" w:rsidR="00C45BEF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29752A2" w14:textId="1F1723DE" w:rsidR="00C45BEF" w:rsidRPr="00A877AE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 w:rsidR="0000244E"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proofErr w:type="gramStart"/>
      <w:r w:rsidR="007A2AF3">
        <w:rPr>
          <w:rFonts w:asciiTheme="minorHAnsi" w:hAnsiTheme="minorHAnsi" w:cstheme="minorHAnsi"/>
          <w:sz w:val="24"/>
          <w:szCs w:val="24"/>
        </w:rPr>
        <w:t>2/</w:t>
      </w:r>
      <w:r w:rsidR="00BB5502">
        <w:rPr>
          <w:rFonts w:asciiTheme="minorHAnsi" w:hAnsiTheme="minorHAnsi" w:cstheme="minorHAnsi"/>
          <w:sz w:val="24"/>
          <w:szCs w:val="24"/>
        </w:rPr>
        <w:t>7</w:t>
      </w:r>
      <w:r w:rsidR="007A2AF3">
        <w:rPr>
          <w:rFonts w:asciiTheme="minorHAnsi" w:hAnsiTheme="minorHAnsi" w:cstheme="minorHAnsi"/>
          <w:sz w:val="24"/>
          <w:szCs w:val="24"/>
        </w:rPr>
        <w:t>/2023</w:t>
      </w:r>
      <w:proofErr w:type="gramEnd"/>
    </w:p>
    <w:bookmarkEnd w:id="0"/>
    <w:p w14:paraId="63BB53A7" w14:textId="77777777" w:rsidR="0005236E" w:rsidRPr="0005236E" w:rsidRDefault="0005236E" w:rsidP="0005236E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B01FF7" w:rsidRPr="0005236E" w14:paraId="0EEBDBFB" w14:textId="77777777" w:rsidTr="0000244E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B01FF7" w:rsidRPr="006059C8" w:rsidRDefault="00B01FF7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543DAE11" w:rsidR="00B01FF7" w:rsidRPr="006059C8" w:rsidRDefault="006059C8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9635" w14:textId="6A57D736" w:rsidR="00B01FF7" w:rsidRPr="0005236E" w:rsidRDefault="0000244E" w:rsidP="0000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14450431" w:rsidR="00B01FF7" w:rsidRPr="0005236E" w:rsidRDefault="00B01FF7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B01FF7" w:rsidRPr="0005236E" w14:paraId="0A0349A1" w14:textId="77777777" w:rsidTr="0000244E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2E86E" w14:textId="54783197" w:rsidR="00B01FF7" w:rsidRPr="0005236E" w:rsidRDefault="00FB340B" w:rsidP="00240F4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Bachelor of Science in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B78F0" w14:textId="22135389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13794" w14:textId="5A7874E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DB52C6" w14:textId="5A299C5B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55BBB5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C54D8" w14:textId="22AFB1D5" w:rsidR="00B01FF7" w:rsidRPr="0005236E" w:rsidRDefault="00FB340B" w:rsidP="007A2AF3">
            <w:pPr>
              <w:spacing w:before="60" w:after="60"/>
              <w:ind w:left="-3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Business Administration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FB484" w14:textId="1FBDE817" w:rsidR="00B01FF7" w:rsidRPr="0005236E" w:rsidRDefault="00FB340B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Job Placement Rate (2020-21)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66637" w14:textId="30FDD6C5" w:rsidR="00B01FF7" w:rsidRPr="0005236E" w:rsidRDefault="00EB6C4D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80.0%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D01D3" w14:textId="70BFC583" w:rsidR="00B01FF7" w:rsidRPr="0005236E" w:rsidRDefault="00FB340B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95.7%</w:t>
            </w:r>
          </w:p>
        </w:tc>
      </w:tr>
      <w:tr w:rsidR="00B01FF7" w:rsidRPr="0005236E" w14:paraId="4E298BE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0C0F" w14:textId="767ADC3F" w:rsidR="00B01FF7" w:rsidRPr="0005236E" w:rsidRDefault="00FB340B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Computer Information Systems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955D1" w14:textId="06BFA53E" w:rsidR="00B01FF7" w:rsidRPr="0005236E" w:rsidRDefault="00FB340B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Job Placement Rate (2020-21)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0B5257" w14:textId="43004108" w:rsidR="00B01FF7" w:rsidRPr="0005236E" w:rsidRDefault="00EB6C4D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80.0%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E1FE0" w14:textId="1FCEE14B" w:rsidR="00B01FF7" w:rsidRPr="0005236E" w:rsidRDefault="00FB340B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100.0%</w:t>
            </w:r>
          </w:p>
        </w:tc>
      </w:tr>
      <w:tr w:rsidR="00B01FF7" w:rsidRPr="0005236E" w14:paraId="64125B99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8C0E3" w14:textId="3E821B8C" w:rsidR="00B01FF7" w:rsidRPr="0005236E" w:rsidRDefault="00FB340B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Accounting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C7F22" w14:textId="0DCC9927" w:rsidR="00B01FF7" w:rsidRPr="0005236E" w:rsidRDefault="00FB340B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Job Placement Rate (2020-21)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14B5B" w14:textId="26FD3490" w:rsidR="00B01FF7" w:rsidRPr="0005236E" w:rsidRDefault="00EB6C4D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80.0%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61DCF" w14:textId="33D81516" w:rsidR="00B01FF7" w:rsidRPr="0005236E" w:rsidRDefault="00FB340B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97.8%</w:t>
            </w:r>
          </w:p>
        </w:tc>
      </w:tr>
    </w:tbl>
    <w:p w14:paraId="7BA7BD79" w14:textId="77777777" w:rsidR="0061140E" w:rsidRDefault="00000000">
      <w:pPr>
        <w:rPr>
          <w:rFonts w:asciiTheme="minorHAnsi" w:hAnsiTheme="minorHAnsi" w:cstheme="minorHAnsi"/>
          <w:sz w:val="24"/>
          <w:szCs w:val="24"/>
        </w:rPr>
      </w:pPr>
    </w:p>
    <w:p w14:paraId="6D1CC889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04461A19" w14:textId="63EF5BDB" w:rsidR="0005236E" w:rsidRPr="0005236E" w:rsidRDefault="006059C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1063DAF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05236E" w:rsidRPr="0005236E" w14:paraId="22655071" w14:textId="77777777" w:rsidTr="0000244E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42C" w14:textId="365150DD" w:rsidR="0005236E" w:rsidRPr="0005236E" w:rsidRDefault="006059C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CA226" w14:textId="77777777"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05236E" w:rsidRPr="0005236E" w14:paraId="17337671" w14:textId="77777777" w:rsidTr="004E529A">
        <w:trPr>
          <w:trHeight w:val="2787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CBC137" w14:textId="1BDFC413" w:rsidR="0005236E" w:rsidRPr="0005236E" w:rsidRDefault="00BB5502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Job Placement</w:t>
            </w:r>
            <w:r w:rsidR="007A2AF3">
              <w:rPr>
                <w:rFonts w:asciiTheme="minorHAnsi" w:hAnsiTheme="minorHAnsi" w:cstheme="minorHAnsi"/>
                <w:sz w:val="24"/>
                <w:szCs w:val="24"/>
              </w:rPr>
              <w:t xml:space="preserve"> Rate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C01D5E" w14:textId="3D5BCC49" w:rsidR="0005236E" w:rsidRPr="0005236E" w:rsidRDefault="00BB5502" w:rsidP="00BB5502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B5502">
              <w:rPr>
                <w:rFonts w:asciiTheme="minorHAnsi" w:hAnsiTheme="minorHAnsi" w:cstheme="minorHAnsi"/>
                <w:sz w:val="24"/>
                <w:szCs w:val="24"/>
              </w:rPr>
              <w:t xml:space="preserve">BSU Career Services conducted a survey among recent graduates one year after their graduation. This survey asks graduates about their status after one year of the graduation. Job Placement in </w:t>
            </w:r>
            <w:proofErr w:type="gramStart"/>
            <w:r w:rsidRPr="00BB5502">
              <w:rPr>
                <w:rFonts w:asciiTheme="minorHAnsi" w:hAnsiTheme="minorHAnsi" w:cstheme="minorHAnsi"/>
                <w:sz w:val="24"/>
                <w:szCs w:val="24"/>
              </w:rPr>
              <w:t>workforce</w:t>
            </w:r>
            <w:proofErr w:type="gramEnd"/>
            <w:r w:rsidRPr="00BB5502">
              <w:rPr>
                <w:rFonts w:asciiTheme="minorHAnsi" w:hAnsiTheme="minorHAnsi" w:cstheme="minorHAnsi"/>
                <w:sz w:val="24"/>
                <w:szCs w:val="24"/>
              </w:rPr>
              <w:t xml:space="preserve"> includes full-time and part-time employment in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5502">
              <w:rPr>
                <w:rFonts w:asciiTheme="minorHAnsi" w:hAnsiTheme="minorHAnsi" w:cstheme="minorHAnsi"/>
                <w:sz w:val="24"/>
                <w:szCs w:val="24"/>
              </w:rPr>
              <w:t xml:space="preserve">related fields. The data only </w:t>
            </w:r>
            <w:proofErr w:type="gramStart"/>
            <w:r w:rsidRPr="00BB5502">
              <w:rPr>
                <w:rFonts w:asciiTheme="minorHAnsi" w:hAnsiTheme="minorHAnsi" w:cstheme="minorHAnsi"/>
                <w:sz w:val="24"/>
                <w:szCs w:val="24"/>
              </w:rPr>
              <w:t>takes into account</w:t>
            </w:r>
            <w:proofErr w:type="gramEnd"/>
            <w:r w:rsidRPr="00BB5502">
              <w:rPr>
                <w:rFonts w:asciiTheme="minorHAnsi" w:hAnsiTheme="minorHAnsi" w:cstheme="minorHAnsi"/>
                <w:sz w:val="24"/>
                <w:szCs w:val="24"/>
              </w:rPr>
              <w:t xml:space="preserve"> those who are available for employment and seeking employment in related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B5502">
              <w:rPr>
                <w:rFonts w:asciiTheme="minorHAnsi" w:hAnsiTheme="minorHAnsi" w:cstheme="minorHAnsi"/>
                <w:sz w:val="24"/>
                <w:szCs w:val="24"/>
              </w:rPr>
              <w:t>fields. Not included in the calculation are those who are: (i) not seeking employment in related fields; (ii) not available for works; and (iii) not responding to the survey.</w:t>
            </w:r>
          </w:p>
        </w:tc>
      </w:tr>
    </w:tbl>
    <w:p w14:paraId="1EAB19F3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250F3DD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 w:rsidSect="000024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85B5" w14:textId="77777777" w:rsidR="00D90936" w:rsidRDefault="00D90936" w:rsidP="00C45BEF">
      <w:r>
        <w:separator/>
      </w:r>
    </w:p>
  </w:endnote>
  <w:endnote w:type="continuationSeparator" w:id="0">
    <w:p w14:paraId="3CFCC696" w14:textId="77777777" w:rsidR="00D90936" w:rsidRDefault="00D90936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A609E" w14:textId="77777777" w:rsidR="00D90936" w:rsidRDefault="00D90936" w:rsidP="00C45BEF">
      <w:r>
        <w:separator/>
      </w:r>
    </w:p>
  </w:footnote>
  <w:footnote w:type="continuationSeparator" w:id="0">
    <w:p w14:paraId="315460C7" w14:textId="77777777" w:rsidR="00D90936" w:rsidRDefault="00D90936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6E"/>
    <w:rsid w:val="0000244E"/>
    <w:rsid w:val="0005236E"/>
    <w:rsid w:val="0024694C"/>
    <w:rsid w:val="004C25C5"/>
    <w:rsid w:val="004E529A"/>
    <w:rsid w:val="006059C8"/>
    <w:rsid w:val="006E6E2E"/>
    <w:rsid w:val="007A2AF3"/>
    <w:rsid w:val="007E206A"/>
    <w:rsid w:val="00824FE8"/>
    <w:rsid w:val="009104CB"/>
    <w:rsid w:val="00941920"/>
    <w:rsid w:val="00953766"/>
    <w:rsid w:val="00A877AE"/>
    <w:rsid w:val="00B01FF7"/>
    <w:rsid w:val="00BB5502"/>
    <w:rsid w:val="00C45BEF"/>
    <w:rsid w:val="00C90D98"/>
    <w:rsid w:val="00CA7DAC"/>
    <w:rsid w:val="00D90936"/>
    <w:rsid w:val="00E8614B"/>
    <w:rsid w:val="00EB6C4D"/>
    <w:rsid w:val="00F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chartTrackingRefBased/>
  <w15:docId w15:val="{C454B711-B186-494F-A9B5-04D7E0E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989ee3431e88159fe46aa92a7819a71c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24e70e768c46a84c5caf4f898f039b6d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D63C8-E89C-4A9F-9A88-6C079487A8FB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2.xml><?xml version="1.0" encoding="utf-8"?>
<ds:datastoreItem xmlns:ds="http://schemas.openxmlformats.org/officeDocument/2006/customXml" ds:itemID="{DE361736-4D2A-4087-8720-4B1B6083B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EAB4A-8AAA-420F-8EE0-7DA6FA340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Fredrickson, Joann</cp:lastModifiedBy>
  <cp:revision>3</cp:revision>
  <dcterms:created xsi:type="dcterms:W3CDTF">2023-07-20T11:25:00Z</dcterms:created>
  <dcterms:modified xsi:type="dcterms:W3CDTF">2023-07-20T11:25:00Z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