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428" w:rsidRDefault="00657D07">
      <w:pPr>
        <w:pStyle w:val="Heading1"/>
        <w:spacing w:before="57"/>
        <w:ind w:left="262" w:right="222"/>
        <w:rPr>
          <w:u w:val="none"/>
        </w:rPr>
      </w:pPr>
      <w:r>
        <w:rPr>
          <w:u w:val="none"/>
        </w:rPr>
        <w:t>BEMIDJI STATE UNIVERSITY &amp; NORTHWEST TECHNICAL COLLEGE</w:t>
      </w:r>
    </w:p>
    <w:p w:rsidR="00172428" w:rsidRDefault="00657D07">
      <w:pPr>
        <w:spacing w:before="199"/>
        <w:ind w:left="198" w:right="222"/>
        <w:rPr>
          <w:b/>
          <w:sz w:val="24"/>
        </w:rPr>
      </w:pPr>
      <w:r>
        <w:rPr>
          <w:b/>
          <w:sz w:val="24"/>
          <w:u w:val="thick"/>
        </w:rPr>
        <w:t>ACADEMIC YEAR 2018-2019 STUDENT EMPLOYMENT REQUIREMENTS</w:t>
      </w:r>
    </w:p>
    <w:p w:rsidR="00172428" w:rsidRDefault="00657D07">
      <w:pPr>
        <w:spacing w:before="201"/>
        <w:ind w:left="120" w:right="222"/>
        <w:rPr>
          <w:b/>
          <w:sz w:val="24"/>
        </w:rPr>
      </w:pPr>
      <w:r>
        <w:rPr>
          <w:b/>
          <w:sz w:val="24"/>
          <w:u w:val="thick"/>
        </w:rPr>
        <w:t>Student employment policies:</w:t>
      </w:r>
    </w:p>
    <w:p w:rsidR="00172428" w:rsidRDefault="00657D07">
      <w:pPr>
        <w:pStyle w:val="BodyText"/>
        <w:spacing w:before="194"/>
        <w:ind w:left="119" w:right="222"/>
      </w:pPr>
      <w:r>
        <w:t>A student may be paid for multiple jobs on both the work study and payroll at the same time. A student is still limited to no more than 20 hours per week between all jobs regardless of the type or source of payroll funds.</w:t>
      </w:r>
    </w:p>
    <w:p w:rsidR="00172428" w:rsidRDefault="00657D07">
      <w:pPr>
        <w:pStyle w:val="BodyText"/>
        <w:spacing w:before="199"/>
        <w:ind w:left="120" w:right="222"/>
      </w:pPr>
      <w:r>
        <w:t xml:space="preserve">Upon earning his or her full Work </w:t>
      </w:r>
      <w:r>
        <w:t>Study Program allocation, a Student Employee Supervisor may place the student on the Regular Payroll, provided the department has a Regular Payroll allocation or the department chooses to utilize funds from its operating budget to employ a student.</w:t>
      </w:r>
    </w:p>
    <w:p w:rsidR="00172428" w:rsidRDefault="00657D07">
      <w:pPr>
        <w:pStyle w:val="BodyText"/>
        <w:spacing w:before="201"/>
        <w:ind w:left="840" w:right="222"/>
      </w:pPr>
      <w:r>
        <w:t>NOTE: A</w:t>
      </w:r>
      <w:r>
        <w:t>fter Work Study and Regular Payroll allocations are fully committed, a department may employ a student on the Regular Payroll utilizing the department's own funds, only if approved by the Vice President of the area.</w:t>
      </w:r>
    </w:p>
    <w:p w:rsidR="00172428" w:rsidRDefault="00657D07">
      <w:pPr>
        <w:pStyle w:val="BodyText"/>
        <w:spacing w:before="201"/>
        <w:ind w:left="840" w:right="541"/>
      </w:pPr>
      <w:r>
        <w:t>If Regular Payroll funds are not availab</w:t>
      </w:r>
      <w:r>
        <w:t>le through the allocation process or departmental funds, it may be necessary to request a Regular Payroll Supplemental allocation, seek assistance from a department that has Regular Payroll funds, employ another Work Study Program student, or terminate the</w:t>
      </w:r>
      <w:r>
        <w:t xml:space="preserve"> Regular Payroll student employee. Volunteer work by a student is prohibited.</w:t>
      </w:r>
    </w:p>
    <w:p w:rsidR="00172428" w:rsidRDefault="00172428">
      <w:pPr>
        <w:pStyle w:val="BodyText"/>
      </w:pPr>
    </w:p>
    <w:p w:rsidR="00172428" w:rsidRDefault="00172428">
      <w:pPr>
        <w:pStyle w:val="BodyText"/>
        <w:spacing w:before="3"/>
        <w:rPr>
          <w:sz w:val="26"/>
        </w:rPr>
      </w:pPr>
    </w:p>
    <w:p w:rsidR="00172428" w:rsidRDefault="00657D07">
      <w:pPr>
        <w:pStyle w:val="Heading1"/>
        <w:spacing w:line="274" w:lineRule="exact"/>
        <w:ind w:left="37"/>
        <w:jc w:val="center"/>
        <w:rPr>
          <w:u w:val="none"/>
        </w:rPr>
      </w:pPr>
      <w:r>
        <w:rPr>
          <w:u w:val="none"/>
        </w:rPr>
        <w:t>Policy on Work Hour Limits</w:t>
      </w:r>
    </w:p>
    <w:p w:rsidR="00172428" w:rsidRDefault="00657D07">
      <w:pPr>
        <w:pStyle w:val="BodyText"/>
        <w:tabs>
          <w:tab w:val="left" w:pos="2894"/>
        </w:tabs>
        <w:ind w:left="160" w:right="121" w:firstLine="3"/>
        <w:jc w:val="center"/>
      </w:pPr>
      <w:r>
        <w:t>The employment hours of student employees must follow the Federal and State labor agreement rules</w:t>
      </w:r>
      <w:r>
        <w:rPr>
          <w:spacing w:val="-2"/>
        </w:rPr>
        <w:t xml:space="preserve"> </w:t>
      </w:r>
      <w:r>
        <w:t>and</w:t>
      </w:r>
      <w:r>
        <w:rPr>
          <w:spacing w:val="-1"/>
        </w:rPr>
        <w:t xml:space="preserve"> </w:t>
      </w:r>
      <w:r>
        <w:t>laws.</w:t>
      </w:r>
      <w:r>
        <w:tab/>
        <w:t xml:space="preserve">Students may not volunteer “extra hours” </w:t>
      </w:r>
      <w:r>
        <w:t>while</w:t>
      </w:r>
      <w:r>
        <w:rPr>
          <w:spacing w:val="-15"/>
        </w:rPr>
        <w:t xml:space="preserve"> </w:t>
      </w:r>
      <w:r>
        <w:t>employed</w:t>
      </w:r>
      <w:r>
        <w:rPr>
          <w:spacing w:val="-2"/>
        </w:rPr>
        <w:t xml:space="preserve"> </w:t>
      </w:r>
      <w:r>
        <w:t>in a department or be asked to put in more time than what they can be legally</w:t>
      </w:r>
      <w:r>
        <w:rPr>
          <w:spacing w:val="-15"/>
        </w:rPr>
        <w:t xml:space="preserve"> </w:t>
      </w:r>
      <w:r>
        <w:t>paid.</w:t>
      </w:r>
    </w:p>
    <w:p w:rsidR="00172428" w:rsidRDefault="00172428">
      <w:pPr>
        <w:pStyle w:val="BodyText"/>
      </w:pPr>
    </w:p>
    <w:p w:rsidR="00172428" w:rsidRDefault="00657D07">
      <w:pPr>
        <w:pStyle w:val="BodyText"/>
        <w:ind w:left="37"/>
        <w:jc w:val="center"/>
      </w:pPr>
      <w:r>
        <w:rPr>
          <w:u w:val="single"/>
        </w:rPr>
        <w:t>STUDENT EMPLOYEE TIMECARD LIMITS:</w:t>
      </w:r>
    </w:p>
    <w:p w:rsidR="00172428" w:rsidRDefault="00172428">
      <w:pPr>
        <w:jc w:val="center"/>
        <w:sectPr w:rsidR="00172428">
          <w:type w:val="continuous"/>
          <w:pgSz w:w="12240" w:h="15840"/>
          <w:pgMar w:top="1480" w:right="1720" w:bottom="280" w:left="1680" w:header="720" w:footer="720" w:gutter="0"/>
          <w:cols w:space="720"/>
        </w:sectPr>
      </w:pPr>
    </w:p>
    <w:p w:rsidR="00172428" w:rsidRDefault="00657D07">
      <w:pPr>
        <w:pStyle w:val="BodyText"/>
        <w:ind w:left="1879" w:right="-18" w:firstLine="21"/>
      </w:pPr>
      <w:r>
        <w:t xml:space="preserve">Max hours worked in one day Max hours worked in </w:t>
      </w:r>
      <w:proofErr w:type="gramStart"/>
      <w:r>
        <w:t>one week</w:t>
      </w:r>
      <w:proofErr w:type="gramEnd"/>
      <w:r>
        <w:t xml:space="preserve"> Max hours reported per time sheet</w:t>
      </w:r>
    </w:p>
    <w:p w:rsidR="00172428" w:rsidRDefault="00657D07">
      <w:pPr>
        <w:pStyle w:val="BodyText"/>
        <w:ind w:left="969" w:right="1805"/>
        <w:jc w:val="center"/>
      </w:pPr>
      <w:r>
        <w:br w:type="column"/>
      </w:r>
      <w:r>
        <w:t xml:space="preserve">8 </w:t>
      </w:r>
      <w:proofErr w:type="spellStart"/>
      <w:r>
        <w:t>Hrs</w:t>
      </w:r>
      <w:proofErr w:type="spellEnd"/>
    </w:p>
    <w:p w:rsidR="00172428" w:rsidRDefault="00657D07">
      <w:pPr>
        <w:pStyle w:val="BodyText"/>
        <w:ind w:left="949" w:right="1944"/>
        <w:jc w:val="center"/>
      </w:pPr>
      <w:r>
        <w:t xml:space="preserve">20 </w:t>
      </w:r>
      <w:proofErr w:type="spellStart"/>
      <w:r>
        <w:t>Hrs</w:t>
      </w:r>
      <w:proofErr w:type="spellEnd"/>
    </w:p>
    <w:p w:rsidR="00172428" w:rsidRDefault="00657D07">
      <w:pPr>
        <w:pStyle w:val="BodyText"/>
        <w:ind w:left="954" w:right="1944"/>
        <w:jc w:val="center"/>
      </w:pPr>
      <w:r>
        <w:t xml:space="preserve">40 </w:t>
      </w:r>
      <w:proofErr w:type="spellStart"/>
      <w:r>
        <w:t>Hrs</w:t>
      </w:r>
      <w:proofErr w:type="spellEnd"/>
    </w:p>
    <w:p w:rsidR="00172428" w:rsidRDefault="00172428">
      <w:pPr>
        <w:jc w:val="center"/>
        <w:sectPr w:rsidR="00172428">
          <w:type w:val="continuous"/>
          <w:pgSz w:w="12240" w:h="15840"/>
          <w:pgMar w:top="1480" w:right="1720" w:bottom="280" w:left="1680" w:header="720" w:footer="720" w:gutter="0"/>
          <w:cols w:num="2" w:space="720" w:equalWidth="0">
            <w:col w:w="5180" w:space="40"/>
            <w:col w:w="3620"/>
          </w:cols>
        </w:sectPr>
      </w:pPr>
    </w:p>
    <w:p w:rsidR="00172428" w:rsidRDefault="00657D07">
      <w:pPr>
        <w:pStyle w:val="BodyText"/>
        <w:tabs>
          <w:tab w:val="left" w:pos="4366"/>
        </w:tabs>
        <w:ind w:left="41"/>
        <w:jc w:val="center"/>
      </w:pPr>
      <w:r>
        <w:t>Max number of days per time sheet</w:t>
      </w:r>
      <w:r>
        <w:tab/>
        <w:t>10</w:t>
      </w:r>
      <w:r>
        <w:rPr>
          <w:spacing w:val="3"/>
        </w:rPr>
        <w:t xml:space="preserve"> </w:t>
      </w:r>
      <w:r>
        <w:t>Days</w:t>
      </w:r>
    </w:p>
    <w:p w:rsidR="00172428" w:rsidRDefault="00172428">
      <w:pPr>
        <w:pStyle w:val="BodyText"/>
      </w:pPr>
    </w:p>
    <w:p w:rsidR="00172428" w:rsidRDefault="00657D07">
      <w:pPr>
        <w:pStyle w:val="BodyText"/>
        <w:ind w:left="314" w:right="273"/>
        <w:jc w:val="center"/>
      </w:pPr>
      <w:r>
        <w:t xml:space="preserve">Full time hours (8 </w:t>
      </w:r>
      <w:proofErr w:type="spellStart"/>
      <w:r>
        <w:t>hrs</w:t>
      </w:r>
      <w:proofErr w:type="spellEnd"/>
      <w:r>
        <w:t xml:space="preserve"> per day, 40 </w:t>
      </w:r>
      <w:proofErr w:type="spellStart"/>
      <w:r>
        <w:t>hrs</w:t>
      </w:r>
      <w:proofErr w:type="spellEnd"/>
      <w:r>
        <w:t xml:space="preserve"> per week, 80 </w:t>
      </w:r>
      <w:proofErr w:type="spellStart"/>
      <w:r>
        <w:t>hrs</w:t>
      </w:r>
      <w:proofErr w:type="spellEnd"/>
      <w:r>
        <w:t xml:space="preserve"> per time card, 10 days</w:t>
      </w:r>
      <w:r>
        <w:t xml:space="preserve"> per time card) are ONLY permitted during summer or semester breaks.</w:t>
      </w:r>
    </w:p>
    <w:p w:rsidR="00172428" w:rsidRDefault="00172428">
      <w:pPr>
        <w:pStyle w:val="BodyText"/>
      </w:pPr>
    </w:p>
    <w:p w:rsidR="00172428" w:rsidRDefault="00657D07">
      <w:pPr>
        <w:pStyle w:val="BodyText"/>
        <w:ind w:left="40"/>
        <w:jc w:val="center"/>
      </w:pPr>
      <w:r>
        <w:t>NOTE:  Overtime or time-and-a-half pay is not permitted</w:t>
      </w:r>
    </w:p>
    <w:p w:rsidR="00172428" w:rsidRDefault="00657D07">
      <w:pPr>
        <w:pStyle w:val="Heading1"/>
        <w:numPr>
          <w:ilvl w:val="0"/>
          <w:numId w:val="3"/>
        </w:numPr>
        <w:tabs>
          <w:tab w:val="left" w:pos="480"/>
        </w:tabs>
        <w:spacing w:before="105"/>
        <w:rPr>
          <w:u w:val="none"/>
        </w:rPr>
      </w:pPr>
      <w:r>
        <w:rPr>
          <w:u w:val="thick"/>
        </w:rPr>
        <w:t>What happens if I do not spend my allocation or if I overspend my</w:t>
      </w:r>
      <w:r>
        <w:rPr>
          <w:spacing w:val="-26"/>
          <w:u w:val="thick"/>
        </w:rPr>
        <w:t xml:space="preserve"> </w:t>
      </w:r>
      <w:r>
        <w:rPr>
          <w:u w:val="thick"/>
        </w:rPr>
        <w:t>allocation?</w:t>
      </w:r>
    </w:p>
    <w:p w:rsidR="00172428" w:rsidRDefault="00657D07">
      <w:pPr>
        <w:pStyle w:val="BodyText"/>
        <w:spacing w:before="197"/>
        <w:ind w:left="480" w:right="142"/>
      </w:pPr>
      <w:r>
        <w:t>Regular payroll funds will be allocated to the depar</w:t>
      </w:r>
      <w:r>
        <w:t xml:space="preserve">tments using the Accounting Office budget system. Unspent funds will </w:t>
      </w:r>
      <w:proofErr w:type="gramStart"/>
      <w:r>
        <w:t>revert back</w:t>
      </w:r>
      <w:proofErr w:type="gramEnd"/>
      <w:r>
        <w:t xml:space="preserve"> to the general account and become part of the summer help allocation. An over-expenditure in regular payroll funds will be covered by an accounting transfer from the non-salar</w:t>
      </w:r>
      <w:r>
        <w:t>y operating budget within the same cost center.</w:t>
      </w:r>
    </w:p>
    <w:p w:rsidR="00172428" w:rsidRDefault="00172428">
      <w:pPr>
        <w:sectPr w:rsidR="00172428">
          <w:type w:val="continuous"/>
          <w:pgSz w:w="12240" w:h="15840"/>
          <w:pgMar w:top="1480" w:right="1720" w:bottom="280" w:left="1680" w:header="720" w:footer="720" w:gutter="0"/>
          <w:cols w:space="720"/>
        </w:sectPr>
      </w:pPr>
    </w:p>
    <w:p w:rsidR="00172428" w:rsidRDefault="00657D07">
      <w:pPr>
        <w:pStyle w:val="BodyText"/>
        <w:spacing w:before="52"/>
        <w:ind w:left="459" w:right="222"/>
      </w:pPr>
      <w:r>
        <w:lastRenderedPageBreak/>
        <w:t>A Work Study allocation and expenditure report will continue to be periodically distributed to departments to assist with the budgeting process. Unspent Work Study funds may be rolled into the next fiscal year and are not "lost" to the campus. It is critic</w:t>
      </w:r>
      <w:r>
        <w:t>al that Work Study students are given the opportunity to earn the amount committed to them on their financial aid award letters. If you anticipate over- expenditure in Work Study funds, you may request additional funds from your Vice President's Office. Ov</w:t>
      </w:r>
      <w:r>
        <w:t>er-expenditure in Work Study funds at the department level may require the student assignments to be changed to Regular Payroll.</w:t>
      </w:r>
    </w:p>
    <w:p w:rsidR="00172428" w:rsidRDefault="00657D07">
      <w:pPr>
        <w:pStyle w:val="Heading1"/>
        <w:numPr>
          <w:ilvl w:val="0"/>
          <w:numId w:val="3"/>
        </w:numPr>
        <w:tabs>
          <w:tab w:val="left" w:pos="460"/>
        </w:tabs>
        <w:spacing w:before="206"/>
        <w:ind w:left="460"/>
        <w:rPr>
          <w:u w:val="none"/>
        </w:rPr>
      </w:pPr>
      <w:r>
        <w:rPr>
          <w:u w:val="thick"/>
        </w:rPr>
        <w:t>Wage Scale</w:t>
      </w:r>
      <w:r>
        <w:rPr>
          <w:spacing w:val="-2"/>
          <w:u w:val="thick"/>
        </w:rPr>
        <w:t xml:space="preserve"> </w:t>
      </w:r>
      <w:r>
        <w:rPr>
          <w:u w:val="thick"/>
        </w:rPr>
        <w:t>2018-2019</w:t>
      </w:r>
    </w:p>
    <w:p w:rsidR="00172428" w:rsidRDefault="00657D07">
      <w:pPr>
        <w:pStyle w:val="BodyText"/>
        <w:spacing w:before="194"/>
        <w:ind w:left="520" w:right="222"/>
      </w:pPr>
      <w:r>
        <w:t>Students will be paid according to the Campus-Wide Wage Scale as follows:</w:t>
      </w:r>
    </w:p>
    <w:p w:rsidR="00172428" w:rsidRDefault="00172428">
      <w:pPr>
        <w:pStyle w:val="BodyText"/>
        <w:spacing w:before="3"/>
        <w:rPr>
          <w:sz w:val="11"/>
        </w:rPr>
      </w:pPr>
    </w:p>
    <w:p w:rsidR="00172428" w:rsidRDefault="00657D07">
      <w:pPr>
        <w:pStyle w:val="BodyText"/>
        <w:tabs>
          <w:tab w:val="left" w:pos="4628"/>
        </w:tabs>
        <w:spacing w:before="69"/>
        <w:ind w:left="2556" w:right="222"/>
      </w:pPr>
      <w:r>
        <w:rPr>
          <w:u w:val="single"/>
        </w:rPr>
        <w:t>Hours</w:t>
      </w:r>
      <w:r>
        <w:rPr>
          <w:spacing w:val="-1"/>
          <w:u w:val="single"/>
        </w:rPr>
        <w:t xml:space="preserve"> </w:t>
      </w:r>
      <w:r>
        <w:rPr>
          <w:u w:val="single"/>
        </w:rPr>
        <w:t>Worked</w:t>
      </w:r>
      <w:r>
        <w:tab/>
      </w:r>
      <w:r>
        <w:rPr>
          <w:u w:val="single"/>
        </w:rPr>
        <w:t>Wage per</w:t>
      </w:r>
      <w:r>
        <w:rPr>
          <w:spacing w:val="-11"/>
          <w:u w:val="single"/>
        </w:rPr>
        <w:t xml:space="preserve"> </w:t>
      </w:r>
      <w:r>
        <w:rPr>
          <w:u w:val="single"/>
        </w:rPr>
        <w:t>Hour</w:t>
      </w:r>
    </w:p>
    <w:p w:rsidR="00172428" w:rsidRDefault="00172428">
      <w:pPr>
        <w:pStyle w:val="BodyText"/>
        <w:spacing w:before="1"/>
        <w:rPr>
          <w:sz w:val="10"/>
        </w:rPr>
      </w:pPr>
    </w:p>
    <w:tbl>
      <w:tblPr>
        <w:tblW w:w="0" w:type="auto"/>
        <w:tblInd w:w="249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27"/>
        <w:gridCol w:w="1497"/>
      </w:tblGrid>
      <w:tr w:rsidR="00172428">
        <w:trPr>
          <w:trHeight w:hRule="exact" w:val="452"/>
        </w:trPr>
        <w:tc>
          <w:tcPr>
            <w:tcW w:w="1827" w:type="dxa"/>
          </w:tcPr>
          <w:p w:rsidR="00172428" w:rsidRDefault="00657D07">
            <w:pPr>
              <w:pStyle w:val="TableParagraph"/>
              <w:spacing w:before="70"/>
              <w:rPr>
                <w:sz w:val="24"/>
              </w:rPr>
            </w:pPr>
            <w:r>
              <w:rPr>
                <w:sz w:val="24"/>
              </w:rPr>
              <w:t>0-750</w:t>
            </w:r>
          </w:p>
        </w:tc>
        <w:tc>
          <w:tcPr>
            <w:tcW w:w="1497" w:type="dxa"/>
          </w:tcPr>
          <w:p w:rsidR="00172428" w:rsidRDefault="00657D07">
            <w:pPr>
              <w:pStyle w:val="TableParagraph"/>
              <w:spacing w:before="69"/>
              <w:ind w:left="772"/>
              <w:rPr>
                <w:sz w:val="24"/>
              </w:rPr>
            </w:pPr>
            <w:r>
              <w:rPr>
                <w:sz w:val="24"/>
              </w:rPr>
              <w:t>$9.90</w:t>
            </w:r>
          </w:p>
        </w:tc>
      </w:tr>
      <w:tr w:rsidR="00172428">
        <w:trPr>
          <w:trHeight w:hRule="exact" w:val="463"/>
        </w:trPr>
        <w:tc>
          <w:tcPr>
            <w:tcW w:w="1827" w:type="dxa"/>
          </w:tcPr>
          <w:p w:rsidR="00172428" w:rsidRDefault="00657D07">
            <w:pPr>
              <w:pStyle w:val="TableParagraph"/>
              <w:spacing w:before="81"/>
              <w:rPr>
                <w:sz w:val="24"/>
              </w:rPr>
            </w:pPr>
            <w:r>
              <w:rPr>
                <w:sz w:val="24"/>
              </w:rPr>
              <w:t>751-1000</w:t>
            </w:r>
          </w:p>
        </w:tc>
        <w:tc>
          <w:tcPr>
            <w:tcW w:w="1497" w:type="dxa"/>
          </w:tcPr>
          <w:p w:rsidR="00172428" w:rsidRDefault="00657D07">
            <w:pPr>
              <w:pStyle w:val="TableParagraph"/>
              <w:ind w:left="802"/>
              <w:rPr>
                <w:sz w:val="24"/>
              </w:rPr>
            </w:pPr>
            <w:r>
              <w:rPr>
                <w:sz w:val="24"/>
              </w:rPr>
              <w:t>$10.10</w:t>
            </w:r>
          </w:p>
        </w:tc>
        <w:bookmarkStart w:id="0" w:name="_GoBack"/>
        <w:bookmarkEnd w:id="0"/>
      </w:tr>
      <w:tr w:rsidR="00172428">
        <w:trPr>
          <w:trHeight w:hRule="exact" w:val="463"/>
        </w:trPr>
        <w:tc>
          <w:tcPr>
            <w:tcW w:w="1827" w:type="dxa"/>
          </w:tcPr>
          <w:p w:rsidR="00172428" w:rsidRDefault="00657D07">
            <w:pPr>
              <w:pStyle w:val="TableParagraph"/>
              <w:spacing w:before="81"/>
              <w:rPr>
                <w:sz w:val="24"/>
              </w:rPr>
            </w:pPr>
            <w:r>
              <w:rPr>
                <w:sz w:val="24"/>
              </w:rPr>
              <w:t>1001+</w:t>
            </w:r>
          </w:p>
        </w:tc>
        <w:tc>
          <w:tcPr>
            <w:tcW w:w="1497" w:type="dxa"/>
          </w:tcPr>
          <w:p w:rsidR="00172428" w:rsidRDefault="00657D07">
            <w:pPr>
              <w:pStyle w:val="TableParagraph"/>
              <w:ind w:left="802"/>
              <w:rPr>
                <w:sz w:val="24"/>
              </w:rPr>
            </w:pPr>
            <w:r>
              <w:rPr>
                <w:sz w:val="24"/>
              </w:rPr>
              <w:t>$10.50</w:t>
            </w:r>
          </w:p>
        </w:tc>
      </w:tr>
    </w:tbl>
    <w:p w:rsidR="00172428" w:rsidRDefault="00172428">
      <w:pPr>
        <w:pStyle w:val="BodyText"/>
        <w:rPr>
          <w:sz w:val="20"/>
        </w:rPr>
      </w:pPr>
    </w:p>
    <w:p w:rsidR="00172428" w:rsidRDefault="00172428">
      <w:pPr>
        <w:pStyle w:val="BodyText"/>
        <w:spacing w:before="6"/>
        <w:rPr>
          <w:sz w:val="29"/>
        </w:rPr>
      </w:pPr>
    </w:p>
    <w:p w:rsidR="00172428" w:rsidRDefault="00657D07">
      <w:pPr>
        <w:pStyle w:val="Heading1"/>
        <w:numPr>
          <w:ilvl w:val="0"/>
          <w:numId w:val="2"/>
        </w:numPr>
        <w:tabs>
          <w:tab w:val="left" w:pos="460"/>
        </w:tabs>
        <w:spacing w:before="77" w:line="270" w:lineRule="exact"/>
        <w:ind w:right="750" w:hanging="359"/>
        <w:rPr>
          <w:u w:val="none"/>
        </w:rPr>
      </w:pPr>
      <w:r>
        <w:rPr>
          <w:u w:val="thick"/>
        </w:rPr>
        <w:t xml:space="preserve">Must departments with their own funds, contracts and </w:t>
      </w:r>
      <w:proofErr w:type="gramStart"/>
      <w:r>
        <w:rPr>
          <w:u w:val="thick"/>
        </w:rPr>
        <w:t>non M</w:t>
      </w:r>
      <w:proofErr w:type="gramEnd"/>
      <w:r>
        <w:rPr>
          <w:u w:val="thick"/>
        </w:rPr>
        <w:t>&amp; E student employment accounts follow the campus-wide wage</w:t>
      </w:r>
      <w:r>
        <w:rPr>
          <w:spacing w:val="-17"/>
          <w:u w:val="thick"/>
        </w:rPr>
        <w:t xml:space="preserve"> </w:t>
      </w:r>
      <w:r>
        <w:rPr>
          <w:u w:val="thick"/>
        </w:rPr>
        <w:t>scale?</w:t>
      </w:r>
    </w:p>
    <w:p w:rsidR="00172428" w:rsidRDefault="00172428">
      <w:pPr>
        <w:pStyle w:val="BodyText"/>
        <w:spacing w:before="3"/>
        <w:rPr>
          <w:b/>
          <w:sz w:val="23"/>
        </w:rPr>
      </w:pPr>
    </w:p>
    <w:p w:rsidR="00172428" w:rsidRDefault="00657D07">
      <w:pPr>
        <w:pStyle w:val="BodyText"/>
        <w:spacing w:before="1" w:line="270" w:lineRule="exact"/>
        <w:ind w:left="459" w:right="130"/>
      </w:pPr>
      <w:r>
        <w:t>It is the policy of the institution that the campus-wide wage scale be followed for all student employees regardless of the source of funds. The current student pay raise system recognizes an employee’s length of service at the university. This system allo</w:t>
      </w:r>
      <w:r>
        <w:t>ws students to receive a higher compensation as their responsibilities increase over their years of employment at BSU. The BSU system provides a standard wage scale for all student employees, Federal and State Work Study as well as Regular Payroll. Other r</w:t>
      </w:r>
      <w:r>
        <w:t>easons include concerns of some bargaining units and the elimination of inequity, which results when the type of money or department of employment becomes the determining factor for a pay raise. In extenuating circumstances, the department may request an a</w:t>
      </w:r>
      <w:r>
        <w:t>djustment from their area Vice President.</w:t>
      </w:r>
    </w:p>
    <w:p w:rsidR="00172428" w:rsidRDefault="00657D07">
      <w:pPr>
        <w:pStyle w:val="Heading1"/>
        <w:numPr>
          <w:ilvl w:val="0"/>
          <w:numId w:val="2"/>
        </w:numPr>
        <w:tabs>
          <w:tab w:val="left" w:pos="460"/>
        </w:tabs>
        <w:spacing w:before="204"/>
        <w:ind w:left="460"/>
        <w:rPr>
          <w:u w:val="none"/>
        </w:rPr>
      </w:pPr>
      <w:r>
        <w:rPr>
          <w:u w:val="thick"/>
        </w:rPr>
        <w:t>Academic year 2018-2019 employment</w:t>
      </w:r>
      <w:r>
        <w:rPr>
          <w:spacing w:val="-15"/>
          <w:u w:val="thick"/>
        </w:rPr>
        <w:t xml:space="preserve"> </w:t>
      </w:r>
      <w:r>
        <w:rPr>
          <w:u w:val="thick"/>
        </w:rPr>
        <w:t>dates:</w:t>
      </w:r>
    </w:p>
    <w:p w:rsidR="00172428" w:rsidRDefault="00657D07">
      <w:pPr>
        <w:pStyle w:val="BodyText"/>
        <w:spacing w:before="183"/>
        <w:ind w:left="459" w:right="222"/>
      </w:pPr>
      <w:r>
        <w:t>August 22, 2018- May 10, 2019</w:t>
      </w:r>
    </w:p>
    <w:p w:rsidR="00172428" w:rsidRDefault="00657D07">
      <w:pPr>
        <w:pStyle w:val="Heading1"/>
        <w:spacing w:before="215"/>
        <w:ind w:left="100" w:right="222"/>
        <w:rPr>
          <w:u w:val="none"/>
        </w:rPr>
      </w:pPr>
      <w:r>
        <w:rPr>
          <w:b w:val="0"/>
          <w:u w:val="none"/>
        </w:rPr>
        <w:t xml:space="preserve">5.   </w:t>
      </w:r>
      <w:r>
        <w:rPr>
          <w:u w:val="thick"/>
        </w:rPr>
        <w:t>The student payroll is for currently enrolled students only.</w:t>
      </w:r>
    </w:p>
    <w:p w:rsidR="00172428" w:rsidRDefault="00172428">
      <w:pPr>
        <w:pStyle w:val="BodyText"/>
        <w:spacing w:before="10"/>
        <w:rPr>
          <w:b/>
          <w:sz w:val="21"/>
        </w:rPr>
      </w:pPr>
    </w:p>
    <w:p w:rsidR="00172428" w:rsidRDefault="00657D07">
      <w:pPr>
        <w:pStyle w:val="BodyText"/>
        <w:spacing w:before="1" w:line="254" w:lineRule="exact"/>
        <w:ind w:left="459" w:right="222"/>
      </w:pPr>
      <w:r>
        <w:t>Non-enrolled students or formerly enrolled students may not be employed on this payroll. To work over the semester break (December 20, 2018 through January 11, 2019) a student must be enrolled Spring Semester 2019.</w:t>
      </w:r>
    </w:p>
    <w:p w:rsidR="00172428" w:rsidRDefault="00172428">
      <w:pPr>
        <w:pStyle w:val="BodyText"/>
        <w:rPr>
          <w:sz w:val="22"/>
        </w:rPr>
      </w:pPr>
    </w:p>
    <w:p w:rsidR="00172428" w:rsidRDefault="00657D07">
      <w:pPr>
        <w:pStyle w:val="BodyText"/>
        <w:spacing w:line="254" w:lineRule="exact"/>
        <w:ind w:left="459" w:right="130"/>
      </w:pPr>
      <w:r>
        <w:t xml:space="preserve">Students should be encouraged to enroll </w:t>
      </w:r>
      <w:r>
        <w:t>full-time (12 undergraduate or 9 graduate credits), however, a student must be enrolled at least half-time (6 undergraduate or 3</w:t>
      </w:r>
    </w:p>
    <w:p w:rsidR="00172428" w:rsidRDefault="00172428">
      <w:pPr>
        <w:spacing w:line="254" w:lineRule="exact"/>
        <w:sectPr w:rsidR="00172428">
          <w:pgSz w:w="12240" w:h="15840"/>
          <w:pgMar w:top="1380" w:right="1720" w:bottom="280" w:left="1700" w:header="720" w:footer="720" w:gutter="0"/>
          <w:cols w:space="720"/>
        </w:sectPr>
      </w:pPr>
    </w:p>
    <w:p w:rsidR="00172428" w:rsidRDefault="00657D07">
      <w:pPr>
        <w:pStyle w:val="BodyText"/>
        <w:spacing w:before="52"/>
        <w:ind w:left="600" w:right="235"/>
      </w:pPr>
      <w:r>
        <w:lastRenderedPageBreak/>
        <w:t>graduate credits) to work on the student payroll. Audit classes do not count toward credits for work. Federal and Sta</w:t>
      </w:r>
      <w:r>
        <w:t xml:space="preserve">te Work Study students must enroll for the number of credits they indicated on the BSU Financial Aid </w:t>
      </w:r>
      <w:proofErr w:type="gramStart"/>
      <w:r>
        <w:t>application, and</w:t>
      </w:r>
      <w:proofErr w:type="gramEnd"/>
      <w:r>
        <w:t xml:space="preserve"> must remain in good academic standings. (Satisfactory academic progress policy for financial aid)</w:t>
      </w:r>
    </w:p>
    <w:p w:rsidR="00172428" w:rsidRDefault="00657D07">
      <w:pPr>
        <w:pStyle w:val="BodyText"/>
        <w:spacing w:before="201"/>
        <w:ind w:left="600" w:right="235"/>
      </w:pPr>
      <w:r>
        <w:t xml:space="preserve">NOTE: </w:t>
      </w:r>
      <w:proofErr w:type="spellStart"/>
      <w:r>
        <w:t>Post Secondary</w:t>
      </w:r>
      <w:proofErr w:type="spellEnd"/>
      <w:r>
        <w:t xml:space="preserve"> Education Option St</w:t>
      </w:r>
      <w:r>
        <w:t xml:space="preserve">udents (PSEO) are </w:t>
      </w:r>
      <w:r>
        <w:rPr>
          <w:i/>
        </w:rPr>
        <w:t xml:space="preserve">not </w:t>
      </w:r>
      <w:r>
        <w:t>eligible to work on the Student Payroll, regardless of the source of funds. PSEO students are not matriculated students and cannot participate in activities or student employment.</w:t>
      </w:r>
    </w:p>
    <w:p w:rsidR="00172428" w:rsidRDefault="00172428">
      <w:pPr>
        <w:pStyle w:val="BodyText"/>
      </w:pPr>
    </w:p>
    <w:p w:rsidR="00172428" w:rsidRDefault="00172428">
      <w:pPr>
        <w:pStyle w:val="BodyText"/>
      </w:pPr>
    </w:p>
    <w:p w:rsidR="00172428" w:rsidRDefault="00657D07">
      <w:pPr>
        <w:pStyle w:val="BodyText"/>
        <w:spacing w:before="201"/>
        <w:ind w:left="600" w:hanging="360"/>
      </w:pPr>
      <w:r>
        <w:t xml:space="preserve">6. Student Regular Payroll Work Authorization Forms </w:t>
      </w:r>
      <w:r>
        <w:t xml:space="preserve">can be found online at </w:t>
      </w:r>
      <w:hyperlink r:id="rId5">
        <w:r>
          <w:rPr>
            <w:color w:val="0000FF"/>
            <w:u w:val="single" w:color="0000FF"/>
          </w:rPr>
          <w:t xml:space="preserve">http://www.bemidjistate.edu/students/services/employment/ </w:t>
        </w:r>
      </w:hyperlink>
      <w:r>
        <w:t>Please use this form when employing students on the Regular Payroll.</w:t>
      </w:r>
    </w:p>
    <w:p w:rsidR="00172428" w:rsidRDefault="00657D07">
      <w:pPr>
        <w:pStyle w:val="ListParagraph"/>
        <w:numPr>
          <w:ilvl w:val="0"/>
          <w:numId w:val="1"/>
        </w:numPr>
        <w:tabs>
          <w:tab w:val="left" w:pos="600"/>
        </w:tabs>
        <w:spacing w:before="199"/>
        <w:ind w:right="163"/>
        <w:jc w:val="left"/>
        <w:rPr>
          <w:sz w:val="24"/>
        </w:rPr>
      </w:pPr>
      <w:r>
        <w:rPr>
          <w:sz w:val="24"/>
        </w:rPr>
        <w:t xml:space="preserve">Regular M &amp; E Payroll dollar </w:t>
      </w:r>
      <w:r>
        <w:rPr>
          <w:sz w:val="24"/>
        </w:rPr>
        <w:t>allocations by the Vice Presidents will be entered in the department budgets. A payroll report will be sent out monthly, which will provide supervisors with a list of their student employees and their dollar</w:t>
      </w:r>
      <w:r>
        <w:rPr>
          <w:spacing w:val="-26"/>
          <w:sz w:val="24"/>
        </w:rPr>
        <w:t xml:space="preserve"> </w:t>
      </w:r>
      <w:r>
        <w:rPr>
          <w:sz w:val="24"/>
        </w:rPr>
        <w:t>balances.</w:t>
      </w:r>
    </w:p>
    <w:p w:rsidR="00172428" w:rsidRDefault="00657D07">
      <w:pPr>
        <w:pStyle w:val="ListParagraph"/>
        <w:numPr>
          <w:ilvl w:val="0"/>
          <w:numId w:val="1"/>
        </w:numPr>
        <w:tabs>
          <w:tab w:val="left" w:pos="600"/>
        </w:tabs>
        <w:ind w:right="118" w:hanging="359"/>
        <w:jc w:val="left"/>
        <w:rPr>
          <w:sz w:val="24"/>
        </w:rPr>
      </w:pPr>
      <w:r>
        <w:rPr>
          <w:sz w:val="24"/>
        </w:rPr>
        <w:t>A student may not earn more than the d</w:t>
      </w:r>
      <w:r>
        <w:rPr>
          <w:sz w:val="24"/>
        </w:rPr>
        <w:t>ollar amount authorized on the Federal or</w:t>
      </w:r>
      <w:r>
        <w:rPr>
          <w:spacing w:val="-14"/>
          <w:sz w:val="24"/>
        </w:rPr>
        <w:t xml:space="preserve"> </w:t>
      </w:r>
      <w:r>
        <w:rPr>
          <w:sz w:val="24"/>
        </w:rPr>
        <w:t>State Work Study Eligibility</w:t>
      </w:r>
      <w:r>
        <w:rPr>
          <w:spacing w:val="-16"/>
          <w:sz w:val="24"/>
        </w:rPr>
        <w:t xml:space="preserve"> </w:t>
      </w:r>
      <w:r>
        <w:rPr>
          <w:sz w:val="24"/>
        </w:rPr>
        <w:t>Certificate.</w:t>
      </w:r>
    </w:p>
    <w:p w:rsidR="00172428" w:rsidRDefault="00657D07">
      <w:pPr>
        <w:pStyle w:val="ListParagraph"/>
        <w:numPr>
          <w:ilvl w:val="0"/>
          <w:numId w:val="1"/>
        </w:numPr>
        <w:tabs>
          <w:tab w:val="left" w:pos="600"/>
        </w:tabs>
        <w:ind w:right="130" w:hanging="359"/>
        <w:jc w:val="left"/>
        <w:rPr>
          <w:sz w:val="24"/>
        </w:rPr>
      </w:pPr>
      <w:r>
        <w:rPr>
          <w:sz w:val="24"/>
        </w:rPr>
        <w:t>Students are to take their completed Regular Payroll Work Authorization Forms and Work-Study Authorization Form to the Student Payroll Office, (D202) to be placed</w:t>
      </w:r>
      <w:r>
        <w:rPr>
          <w:spacing w:val="-19"/>
          <w:sz w:val="24"/>
        </w:rPr>
        <w:t xml:space="preserve"> </w:t>
      </w:r>
      <w:r>
        <w:rPr>
          <w:sz w:val="24"/>
        </w:rPr>
        <w:t xml:space="preserve">on the payroll. </w:t>
      </w:r>
      <w:r>
        <w:rPr>
          <w:sz w:val="24"/>
          <w:u w:val="single"/>
        </w:rPr>
        <w:t xml:space="preserve">NEW </w:t>
      </w:r>
      <w:r>
        <w:rPr>
          <w:sz w:val="24"/>
        </w:rPr>
        <w:t>BSU student employees will need to complete the following forms at the St</w:t>
      </w:r>
      <w:r>
        <w:rPr>
          <w:sz w:val="24"/>
        </w:rPr>
        <w:t>udent Payroll</w:t>
      </w:r>
      <w:r>
        <w:rPr>
          <w:spacing w:val="-7"/>
          <w:sz w:val="24"/>
        </w:rPr>
        <w:t xml:space="preserve"> </w:t>
      </w:r>
      <w:r>
        <w:rPr>
          <w:sz w:val="24"/>
        </w:rPr>
        <w:t>Office:</w:t>
      </w:r>
    </w:p>
    <w:p w:rsidR="00172428" w:rsidRDefault="00657D07">
      <w:pPr>
        <w:pStyle w:val="ListParagraph"/>
        <w:numPr>
          <w:ilvl w:val="1"/>
          <w:numId w:val="1"/>
        </w:numPr>
        <w:tabs>
          <w:tab w:val="left" w:pos="1320"/>
        </w:tabs>
        <w:ind w:right="235" w:hanging="353"/>
        <w:rPr>
          <w:sz w:val="24"/>
        </w:rPr>
      </w:pPr>
      <w:r>
        <w:rPr>
          <w:sz w:val="24"/>
        </w:rPr>
        <w:t xml:space="preserve">I-9 Form- Employment Eligibility Verification Requirements. You must provide evidence of employment eligibility such as a passport, or a combination of driver’s license or student ID </w:t>
      </w:r>
      <w:r>
        <w:rPr>
          <w:b/>
          <w:sz w:val="24"/>
          <w:u w:val="thick"/>
        </w:rPr>
        <w:t xml:space="preserve">and </w:t>
      </w:r>
      <w:r>
        <w:rPr>
          <w:sz w:val="24"/>
        </w:rPr>
        <w:t>original social security</w:t>
      </w:r>
      <w:r>
        <w:rPr>
          <w:spacing w:val="-9"/>
          <w:sz w:val="24"/>
        </w:rPr>
        <w:t xml:space="preserve"> </w:t>
      </w:r>
      <w:r>
        <w:rPr>
          <w:sz w:val="24"/>
        </w:rPr>
        <w:t>card or birth certificate for the</w:t>
      </w:r>
      <w:r>
        <w:rPr>
          <w:spacing w:val="-22"/>
          <w:sz w:val="24"/>
        </w:rPr>
        <w:t xml:space="preserve"> </w:t>
      </w:r>
      <w:r>
        <w:rPr>
          <w:sz w:val="24"/>
        </w:rPr>
        <w:t>employer.</w:t>
      </w:r>
    </w:p>
    <w:p w:rsidR="00172428" w:rsidRDefault="00657D07">
      <w:pPr>
        <w:pStyle w:val="ListParagraph"/>
        <w:numPr>
          <w:ilvl w:val="1"/>
          <w:numId w:val="1"/>
        </w:numPr>
        <w:tabs>
          <w:tab w:val="left" w:pos="1320"/>
        </w:tabs>
        <w:spacing w:before="199"/>
        <w:ind w:right="1082" w:hanging="367"/>
        <w:rPr>
          <w:sz w:val="24"/>
        </w:rPr>
      </w:pPr>
      <w:r>
        <w:rPr>
          <w:sz w:val="24"/>
        </w:rPr>
        <w:t>W-4 Form - This IRS form is required for determining the number</w:t>
      </w:r>
      <w:r>
        <w:rPr>
          <w:spacing w:val="-9"/>
          <w:sz w:val="24"/>
        </w:rPr>
        <w:t xml:space="preserve"> </w:t>
      </w:r>
      <w:r>
        <w:rPr>
          <w:sz w:val="24"/>
        </w:rPr>
        <w:t>of exemptions to claim for Federal income tax</w:t>
      </w:r>
      <w:r>
        <w:rPr>
          <w:spacing w:val="-5"/>
          <w:sz w:val="24"/>
        </w:rPr>
        <w:t xml:space="preserve"> </w:t>
      </w:r>
      <w:r>
        <w:rPr>
          <w:sz w:val="24"/>
        </w:rPr>
        <w:t>purposes.</w:t>
      </w:r>
    </w:p>
    <w:p w:rsidR="00172428" w:rsidRDefault="00657D07">
      <w:pPr>
        <w:pStyle w:val="ListParagraph"/>
        <w:numPr>
          <w:ilvl w:val="0"/>
          <w:numId w:val="1"/>
        </w:numPr>
        <w:tabs>
          <w:tab w:val="left" w:pos="600"/>
        </w:tabs>
        <w:ind w:right="106" w:hanging="479"/>
        <w:jc w:val="both"/>
        <w:rPr>
          <w:sz w:val="24"/>
        </w:rPr>
      </w:pPr>
      <w:r>
        <w:rPr>
          <w:sz w:val="24"/>
        </w:rPr>
        <w:t>E-timesheets should be submitted to your supervisor for approval on the last day of</w:t>
      </w:r>
      <w:r>
        <w:rPr>
          <w:spacing w:val="-17"/>
          <w:sz w:val="24"/>
        </w:rPr>
        <w:t xml:space="preserve"> </w:t>
      </w:r>
      <w:r>
        <w:rPr>
          <w:sz w:val="24"/>
        </w:rPr>
        <w:t xml:space="preserve">the pay period. Please notify the payroll office of </w:t>
      </w:r>
      <w:r>
        <w:rPr>
          <w:sz w:val="24"/>
        </w:rPr>
        <w:t>any currently enrolled student who is no longer working in your</w:t>
      </w:r>
      <w:r>
        <w:rPr>
          <w:spacing w:val="3"/>
          <w:sz w:val="24"/>
        </w:rPr>
        <w:t xml:space="preserve"> </w:t>
      </w:r>
      <w:r>
        <w:rPr>
          <w:sz w:val="24"/>
        </w:rPr>
        <w:t>area.</w:t>
      </w:r>
    </w:p>
    <w:p w:rsidR="00172428" w:rsidRDefault="00657D07">
      <w:pPr>
        <w:pStyle w:val="ListParagraph"/>
        <w:numPr>
          <w:ilvl w:val="0"/>
          <w:numId w:val="1"/>
        </w:numPr>
        <w:tabs>
          <w:tab w:val="left" w:pos="600"/>
        </w:tabs>
        <w:spacing w:before="202"/>
        <w:ind w:right="221" w:hanging="479"/>
        <w:jc w:val="left"/>
        <w:rPr>
          <w:sz w:val="24"/>
        </w:rPr>
      </w:pPr>
      <w:r>
        <w:rPr>
          <w:sz w:val="24"/>
        </w:rPr>
        <w:t xml:space="preserve">Students may </w:t>
      </w:r>
      <w:proofErr w:type="spellStart"/>
      <w:r>
        <w:rPr>
          <w:sz w:val="24"/>
        </w:rPr>
        <w:t>may</w:t>
      </w:r>
      <w:proofErr w:type="spellEnd"/>
      <w:r>
        <w:rPr>
          <w:sz w:val="24"/>
        </w:rPr>
        <w:t xml:space="preserve"> access their timesheet through their </w:t>
      </w:r>
      <w:proofErr w:type="spellStart"/>
      <w:r>
        <w:rPr>
          <w:sz w:val="24"/>
        </w:rPr>
        <w:t>eServices</w:t>
      </w:r>
      <w:proofErr w:type="spellEnd"/>
      <w:r>
        <w:rPr>
          <w:sz w:val="24"/>
        </w:rPr>
        <w:t xml:space="preserve"> account. If a</w:t>
      </w:r>
      <w:r>
        <w:rPr>
          <w:spacing w:val="-3"/>
          <w:sz w:val="24"/>
        </w:rPr>
        <w:t xml:space="preserve"> </w:t>
      </w:r>
      <w:r>
        <w:rPr>
          <w:sz w:val="24"/>
        </w:rPr>
        <w:t xml:space="preserve">student cannot see their </w:t>
      </w:r>
      <w:proofErr w:type="gramStart"/>
      <w:r>
        <w:rPr>
          <w:sz w:val="24"/>
        </w:rPr>
        <w:t>timesheet</w:t>
      </w:r>
      <w:proofErr w:type="gramEnd"/>
      <w:r>
        <w:rPr>
          <w:sz w:val="24"/>
        </w:rPr>
        <w:t xml:space="preserve"> please make sure the supervisor has submitted the payroll authorization. </w:t>
      </w:r>
      <w:r>
        <w:rPr>
          <w:sz w:val="24"/>
        </w:rPr>
        <w:t xml:space="preserve">Time must be entered by the student for the supervisor to see the timesheet. Students must submit their time for approval at the end of the pay period, and the supervisor must give approval before time may be processed. Instructions on how to use </w:t>
      </w:r>
      <w:proofErr w:type="spellStart"/>
      <w:r>
        <w:rPr>
          <w:sz w:val="24"/>
        </w:rPr>
        <w:t>eTime</w:t>
      </w:r>
      <w:proofErr w:type="spellEnd"/>
      <w:r>
        <w:rPr>
          <w:sz w:val="24"/>
        </w:rPr>
        <w:t xml:space="preserve"> are</w:t>
      </w:r>
      <w:r>
        <w:rPr>
          <w:sz w:val="24"/>
        </w:rPr>
        <w:t xml:space="preserve"> located on the Student Employment</w:t>
      </w:r>
      <w:r>
        <w:rPr>
          <w:spacing w:val="-2"/>
          <w:sz w:val="24"/>
        </w:rPr>
        <w:t xml:space="preserve"> </w:t>
      </w:r>
      <w:r>
        <w:rPr>
          <w:sz w:val="24"/>
        </w:rPr>
        <w:t>Website.</w:t>
      </w:r>
    </w:p>
    <w:sectPr w:rsidR="00172428">
      <w:pgSz w:w="12240" w:h="15840"/>
      <w:pgMar w:top="1380" w:right="164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5012"/>
    <w:multiLevelType w:val="hybridMultilevel"/>
    <w:tmpl w:val="2E70DF38"/>
    <w:lvl w:ilvl="0" w:tplc="EDF209A6">
      <w:start w:val="7"/>
      <w:numFmt w:val="decimal"/>
      <w:lvlText w:val="%1."/>
      <w:lvlJc w:val="left"/>
      <w:pPr>
        <w:ind w:left="599" w:hanging="360"/>
        <w:jc w:val="right"/>
      </w:pPr>
      <w:rPr>
        <w:rFonts w:ascii="Times New Roman" w:eastAsia="Times New Roman" w:hAnsi="Times New Roman" w:cs="Times New Roman" w:hint="default"/>
        <w:spacing w:val="-5"/>
        <w:w w:val="99"/>
        <w:sz w:val="24"/>
        <w:szCs w:val="24"/>
      </w:rPr>
    </w:lvl>
    <w:lvl w:ilvl="1" w:tplc="5E60E9BC">
      <w:start w:val="1"/>
      <w:numFmt w:val="lowerLetter"/>
      <w:lvlText w:val="%2."/>
      <w:lvlJc w:val="left"/>
      <w:pPr>
        <w:ind w:left="1319" w:hanging="354"/>
        <w:jc w:val="left"/>
      </w:pPr>
      <w:rPr>
        <w:rFonts w:ascii="Times New Roman" w:eastAsia="Times New Roman" w:hAnsi="Times New Roman" w:cs="Times New Roman" w:hint="default"/>
        <w:spacing w:val="-1"/>
        <w:w w:val="100"/>
        <w:sz w:val="24"/>
        <w:szCs w:val="24"/>
      </w:rPr>
    </w:lvl>
    <w:lvl w:ilvl="2" w:tplc="7C36A57C">
      <w:start w:val="1"/>
      <w:numFmt w:val="bullet"/>
      <w:lvlText w:val="•"/>
      <w:lvlJc w:val="left"/>
      <w:pPr>
        <w:ind w:left="2177" w:hanging="354"/>
      </w:pPr>
      <w:rPr>
        <w:rFonts w:hint="default"/>
      </w:rPr>
    </w:lvl>
    <w:lvl w:ilvl="3" w:tplc="21EE0D2C">
      <w:start w:val="1"/>
      <w:numFmt w:val="bullet"/>
      <w:lvlText w:val="•"/>
      <w:lvlJc w:val="left"/>
      <w:pPr>
        <w:ind w:left="3035" w:hanging="354"/>
      </w:pPr>
      <w:rPr>
        <w:rFonts w:hint="default"/>
      </w:rPr>
    </w:lvl>
    <w:lvl w:ilvl="4" w:tplc="CC1CFE9A">
      <w:start w:val="1"/>
      <w:numFmt w:val="bullet"/>
      <w:lvlText w:val="•"/>
      <w:lvlJc w:val="left"/>
      <w:pPr>
        <w:ind w:left="3893" w:hanging="354"/>
      </w:pPr>
      <w:rPr>
        <w:rFonts w:hint="default"/>
      </w:rPr>
    </w:lvl>
    <w:lvl w:ilvl="5" w:tplc="E1ECCE5C">
      <w:start w:val="1"/>
      <w:numFmt w:val="bullet"/>
      <w:lvlText w:val="•"/>
      <w:lvlJc w:val="left"/>
      <w:pPr>
        <w:ind w:left="4751" w:hanging="354"/>
      </w:pPr>
      <w:rPr>
        <w:rFonts w:hint="default"/>
      </w:rPr>
    </w:lvl>
    <w:lvl w:ilvl="6" w:tplc="475AA30E">
      <w:start w:val="1"/>
      <w:numFmt w:val="bullet"/>
      <w:lvlText w:val="•"/>
      <w:lvlJc w:val="left"/>
      <w:pPr>
        <w:ind w:left="5608" w:hanging="354"/>
      </w:pPr>
      <w:rPr>
        <w:rFonts w:hint="default"/>
      </w:rPr>
    </w:lvl>
    <w:lvl w:ilvl="7" w:tplc="FB023ED8">
      <w:start w:val="1"/>
      <w:numFmt w:val="bullet"/>
      <w:lvlText w:val="•"/>
      <w:lvlJc w:val="left"/>
      <w:pPr>
        <w:ind w:left="6466" w:hanging="354"/>
      </w:pPr>
      <w:rPr>
        <w:rFonts w:hint="default"/>
      </w:rPr>
    </w:lvl>
    <w:lvl w:ilvl="8" w:tplc="5E485FBA">
      <w:start w:val="1"/>
      <w:numFmt w:val="bullet"/>
      <w:lvlText w:val="•"/>
      <w:lvlJc w:val="left"/>
      <w:pPr>
        <w:ind w:left="7324" w:hanging="354"/>
      </w:pPr>
      <w:rPr>
        <w:rFonts w:hint="default"/>
      </w:rPr>
    </w:lvl>
  </w:abstractNum>
  <w:abstractNum w:abstractNumId="1" w15:restartNumberingAfterBreak="0">
    <w:nsid w:val="6E9D4E48"/>
    <w:multiLevelType w:val="hybridMultilevel"/>
    <w:tmpl w:val="C01801A2"/>
    <w:lvl w:ilvl="0" w:tplc="0D386EDC">
      <w:start w:val="1"/>
      <w:numFmt w:val="decimal"/>
      <w:lvlText w:val="%1."/>
      <w:lvlJc w:val="left"/>
      <w:pPr>
        <w:ind w:left="480" w:hanging="360"/>
        <w:jc w:val="left"/>
      </w:pPr>
      <w:rPr>
        <w:rFonts w:ascii="Times New Roman" w:eastAsia="Times New Roman" w:hAnsi="Times New Roman" w:cs="Times New Roman" w:hint="default"/>
        <w:spacing w:val="-4"/>
        <w:w w:val="99"/>
        <w:sz w:val="24"/>
        <w:szCs w:val="24"/>
      </w:rPr>
    </w:lvl>
    <w:lvl w:ilvl="1" w:tplc="850EE00A">
      <w:start w:val="1"/>
      <w:numFmt w:val="bullet"/>
      <w:lvlText w:val="•"/>
      <w:lvlJc w:val="left"/>
      <w:pPr>
        <w:ind w:left="1316" w:hanging="360"/>
      </w:pPr>
      <w:rPr>
        <w:rFonts w:hint="default"/>
      </w:rPr>
    </w:lvl>
    <w:lvl w:ilvl="2" w:tplc="84C643C0">
      <w:start w:val="1"/>
      <w:numFmt w:val="bullet"/>
      <w:lvlText w:val="•"/>
      <w:lvlJc w:val="left"/>
      <w:pPr>
        <w:ind w:left="2152" w:hanging="360"/>
      </w:pPr>
      <w:rPr>
        <w:rFonts w:hint="default"/>
      </w:rPr>
    </w:lvl>
    <w:lvl w:ilvl="3" w:tplc="7ED8BA12">
      <w:start w:val="1"/>
      <w:numFmt w:val="bullet"/>
      <w:lvlText w:val="•"/>
      <w:lvlJc w:val="left"/>
      <w:pPr>
        <w:ind w:left="2988" w:hanging="360"/>
      </w:pPr>
      <w:rPr>
        <w:rFonts w:hint="default"/>
      </w:rPr>
    </w:lvl>
    <w:lvl w:ilvl="4" w:tplc="EE76DCA8">
      <w:start w:val="1"/>
      <w:numFmt w:val="bullet"/>
      <w:lvlText w:val="•"/>
      <w:lvlJc w:val="left"/>
      <w:pPr>
        <w:ind w:left="3824" w:hanging="360"/>
      </w:pPr>
      <w:rPr>
        <w:rFonts w:hint="default"/>
      </w:rPr>
    </w:lvl>
    <w:lvl w:ilvl="5" w:tplc="D0C47F6C">
      <w:start w:val="1"/>
      <w:numFmt w:val="bullet"/>
      <w:lvlText w:val="•"/>
      <w:lvlJc w:val="left"/>
      <w:pPr>
        <w:ind w:left="4660" w:hanging="360"/>
      </w:pPr>
      <w:rPr>
        <w:rFonts w:hint="default"/>
      </w:rPr>
    </w:lvl>
    <w:lvl w:ilvl="6" w:tplc="B9DCBAB0">
      <w:start w:val="1"/>
      <w:numFmt w:val="bullet"/>
      <w:lvlText w:val="•"/>
      <w:lvlJc w:val="left"/>
      <w:pPr>
        <w:ind w:left="5496" w:hanging="360"/>
      </w:pPr>
      <w:rPr>
        <w:rFonts w:hint="default"/>
      </w:rPr>
    </w:lvl>
    <w:lvl w:ilvl="7" w:tplc="82AC7DF8">
      <w:start w:val="1"/>
      <w:numFmt w:val="bullet"/>
      <w:lvlText w:val="•"/>
      <w:lvlJc w:val="left"/>
      <w:pPr>
        <w:ind w:left="6332" w:hanging="360"/>
      </w:pPr>
      <w:rPr>
        <w:rFonts w:hint="default"/>
      </w:rPr>
    </w:lvl>
    <w:lvl w:ilvl="8" w:tplc="1E60BA9E">
      <w:start w:val="1"/>
      <w:numFmt w:val="bullet"/>
      <w:lvlText w:val="•"/>
      <w:lvlJc w:val="left"/>
      <w:pPr>
        <w:ind w:left="7168" w:hanging="360"/>
      </w:pPr>
      <w:rPr>
        <w:rFonts w:hint="default"/>
      </w:rPr>
    </w:lvl>
  </w:abstractNum>
  <w:abstractNum w:abstractNumId="2" w15:restartNumberingAfterBreak="0">
    <w:nsid w:val="773D428D"/>
    <w:multiLevelType w:val="hybridMultilevel"/>
    <w:tmpl w:val="DFBCE6FE"/>
    <w:lvl w:ilvl="0" w:tplc="2A7EA5E2">
      <w:start w:val="3"/>
      <w:numFmt w:val="decimal"/>
      <w:lvlText w:val="%1."/>
      <w:lvlJc w:val="left"/>
      <w:pPr>
        <w:ind w:left="459" w:hanging="360"/>
        <w:jc w:val="left"/>
      </w:pPr>
      <w:rPr>
        <w:rFonts w:ascii="Times New Roman" w:eastAsia="Times New Roman" w:hAnsi="Times New Roman" w:cs="Times New Roman" w:hint="default"/>
        <w:spacing w:val="-4"/>
        <w:w w:val="99"/>
        <w:sz w:val="24"/>
        <w:szCs w:val="24"/>
      </w:rPr>
    </w:lvl>
    <w:lvl w:ilvl="1" w:tplc="65A019A4">
      <w:start w:val="1"/>
      <w:numFmt w:val="bullet"/>
      <w:lvlText w:val="•"/>
      <w:lvlJc w:val="left"/>
      <w:pPr>
        <w:ind w:left="1296" w:hanging="360"/>
      </w:pPr>
      <w:rPr>
        <w:rFonts w:hint="default"/>
      </w:rPr>
    </w:lvl>
    <w:lvl w:ilvl="2" w:tplc="F0AC7CD2">
      <w:start w:val="1"/>
      <w:numFmt w:val="bullet"/>
      <w:lvlText w:val="•"/>
      <w:lvlJc w:val="left"/>
      <w:pPr>
        <w:ind w:left="2132" w:hanging="360"/>
      </w:pPr>
      <w:rPr>
        <w:rFonts w:hint="default"/>
      </w:rPr>
    </w:lvl>
    <w:lvl w:ilvl="3" w:tplc="F14A45DC">
      <w:start w:val="1"/>
      <w:numFmt w:val="bullet"/>
      <w:lvlText w:val="•"/>
      <w:lvlJc w:val="left"/>
      <w:pPr>
        <w:ind w:left="2968" w:hanging="360"/>
      </w:pPr>
      <w:rPr>
        <w:rFonts w:hint="default"/>
      </w:rPr>
    </w:lvl>
    <w:lvl w:ilvl="4" w:tplc="94B6A174">
      <w:start w:val="1"/>
      <w:numFmt w:val="bullet"/>
      <w:lvlText w:val="•"/>
      <w:lvlJc w:val="left"/>
      <w:pPr>
        <w:ind w:left="3804" w:hanging="360"/>
      </w:pPr>
      <w:rPr>
        <w:rFonts w:hint="default"/>
      </w:rPr>
    </w:lvl>
    <w:lvl w:ilvl="5" w:tplc="4B9E8474">
      <w:start w:val="1"/>
      <w:numFmt w:val="bullet"/>
      <w:lvlText w:val="•"/>
      <w:lvlJc w:val="left"/>
      <w:pPr>
        <w:ind w:left="4640" w:hanging="360"/>
      </w:pPr>
      <w:rPr>
        <w:rFonts w:hint="default"/>
      </w:rPr>
    </w:lvl>
    <w:lvl w:ilvl="6" w:tplc="EABE175E">
      <w:start w:val="1"/>
      <w:numFmt w:val="bullet"/>
      <w:lvlText w:val="•"/>
      <w:lvlJc w:val="left"/>
      <w:pPr>
        <w:ind w:left="5476" w:hanging="360"/>
      </w:pPr>
      <w:rPr>
        <w:rFonts w:hint="default"/>
      </w:rPr>
    </w:lvl>
    <w:lvl w:ilvl="7" w:tplc="B48E485C">
      <w:start w:val="1"/>
      <w:numFmt w:val="bullet"/>
      <w:lvlText w:val="•"/>
      <w:lvlJc w:val="left"/>
      <w:pPr>
        <w:ind w:left="6312" w:hanging="360"/>
      </w:pPr>
      <w:rPr>
        <w:rFonts w:hint="default"/>
      </w:rPr>
    </w:lvl>
    <w:lvl w:ilvl="8" w:tplc="6F1CE912">
      <w:start w:val="1"/>
      <w:numFmt w:val="bullet"/>
      <w:lvlText w:val="•"/>
      <w:lvlJc w:val="left"/>
      <w:pPr>
        <w:ind w:left="7148"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28"/>
    <w:rsid w:val="00172428"/>
    <w:rsid w:val="0065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9635"/>
  <w15:docId w15:val="{4D288F3C-5FA5-4757-9F4B-0CCDDA12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1"/>
      <w:ind w:left="599" w:hanging="360"/>
    </w:pPr>
  </w:style>
  <w:style w:type="paragraph" w:customStyle="1" w:styleId="TableParagraph">
    <w:name w:val="Table Paragraph"/>
    <w:basedOn w:val="Normal"/>
    <w:uiPriority w:val="1"/>
    <w:qFormat/>
    <w:pPr>
      <w:spacing w:before="80"/>
      <w:ind w:left="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midjistate.edu/students/services/employ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BEMIDJI STATE UNIVERSITY</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BEMIDJI STATE UNIVERSITY</dc:title>
  <dc:creator>User</dc:creator>
  <cp:lastModifiedBy>Susan Busta</cp:lastModifiedBy>
  <cp:revision>2</cp:revision>
  <dcterms:created xsi:type="dcterms:W3CDTF">2018-12-27T19:54:00Z</dcterms:created>
  <dcterms:modified xsi:type="dcterms:W3CDTF">2018-12-27T19:54:00Z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Creator">
    <vt:lpwstr>Acrobat PDFMaker 10.0 for Word</vt:lpwstr>
  </property>
  <property fmtid="{D5CDD505-2E9C-101B-9397-08002B2CF9AE}" pid="4" name="LastSaved">
    <vt:filetime>2018-07-19T00:00:00Z</vt:filetime>
  </property>
</Properties>
</file>