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E3F76" w14:textId="77777777" w:rsidR="00FB0310" w:rsidRDefault="00FB0310">
      <w:pPr>
        <w:rPr>
          <w:b/>
          <w:sz w:val="28"/>
          <w:szCs w:val="28"/>
        </w:rPr>
      </w:pPr>
    </w:p>
    <w:p w14:paraId="7CC59C65" w14:textId="77777777" w:rsidR="005607CB" w:rsidRDefault="005607CB">
      <w:pPr>
        <w:rPr>
          <w:b/>
          <w:sz w:val="28"/>
          <w:szCs w:val="28"/>
        </w:rPr>
      </w:pPr>
    </w:p>
    <w:p w14:paraId="7BB5658F" w14:textId="62EBB60F" w:rsidR="00FB0310" w:rsidRDefault="000457E7">
      <w:pPr>
        <w:rPr>
          <w:b/>
          <w:sz w:val="28"/>
          <w:szCs w:val="28"/>
        </w:rPr>
      </w:pPr>
      <w:r>
        <w:rPr>
          <w:b/>
          <w:sz w:val="28"/>
          <w:szCs w:val="28"/>
        </w:rPr>
        <w:t>Annual Summary of Program Performance and Student Achievement</w:t>
      </w:r>
    </w:p>
    <w:p w14:paraId="07B44C92" w14:textId="74805043" w:rsidR="005607CB" w:rsidRDefault="00B608AC" w:rsidP="005607CB">
      <w:pPr>
        <w:jc w:val="center"/>
        <w:rPr>
          <w:b/>
          <w:sz w:val="28"/>
          <w:szCs w:val="28"/>
        </w:rPr>
      </w:pPr>
      <w:r>
        <w:rPr>
          <w:b/>
          <w:sz w:val="28"/>
          <w:szCs w:val="28"/>
        </w:rPr>
        <w:t>Bemidji State University</w:t>
      </w:r>
    </w:p>
    <w:p w14:paraId="4091D618" w14:textId="72B1ED38" w:rsidR="005607CB" w:rsidRDefault="00DB6E9C" w:rsidP="00DB6E9C">
      <w:pPr>
        <w:jc w:val="center"/>
        <w:rPr>
          <w:b/>
          <w:sz w:val="28"/>
          <w:szCs w:val="28"/>
        </w:rPr>
      </w:pPr>
      <w:r>
        <w:rPr>
          <w:b/>
          <w:sz w:val="28"/>
          <w:szCs w:val="28"/>
        </w:rPr>
        <w:t>Spring 2020 Report</w:t>
      </w:r>
    </w:p>
    <w:p w14:paraId="2EE67D9F" w14:textId="05DC44FA" w:rsidR="006621A5" w:rsidRDefault="006621A5" w:rsidP="00DB6E9C">
      <w:pPr>
        <w:jc w:val="center"/>
        <w:rPr>
          <w:b/>
          <w:sz w:val="28"/>
          <w:szCs w:val="28"/>
        </w:rPr>
      </w:pPr>
      <w:r>
        <w:rPr>
          <w:b/>
          <w:sz w:val="28"/>
          <w:szCs w:val="28"/>
        </w:rPr>
        <w:t>2018-2019 Data</w:t>
      </w:r>
    </w:p>
    <w:p w14:paraId="7A47D3F3" w14:textId="77777777" w:rsidR="00FB0310" w:rsidRDefault="00FB0310"/>
    <w:p w14:paraId="309B0D96" w14:textId="77777777" w:rsidR="00FB0310" w:rsidRDefault="00FB0310"/>
    <w:p w14:paraId="4764F428" w14:textId="77777777" w:rsidR="00FB0310" w:rsidRPr="005607CB" w:rsidRDefault="000457E7">
      <w:pPr>
        <w:numPr>
          <w:ilvl w:val="0"/>
          <w:numId w:val="2"/>
        </w:numPr>
        <w:ind w:left="360"/>
        <w:rPr>
          <w:b/>
          <w:sz w:val="24"/>
          <w:szCs w:val="24"/>
        </w:rPr>
      </w:pPr>
      <w:r w:rsidRPr="005607CB">
        <w:rPr>
          <w:b/>
          <w:sz w:val="24"/>
          <w:szCs w:val="24"/>
        </w:rPr>
        <w:t>Overview and Context</w:t>
      </w:r>
    </w:p>
    <w:p w14:paraId="06F77302" w14:textId="4092F139" w:rsidR="00FB0310" w:rsidRPr="005607CB" w:rsidRDefault="000457E7">
      <w:pPr>
        <w:spacing w:after="200"/>
        <w:rPr>
          <w:i/>
          <w:sz w:val="24"/>
          <w:szCs w:val="24"/>
        </w:rPr>
      </w:pPr>
      <w:r w:rsidRPr="005607CB">
        <w:rPr>
          <w:sz w:val="24"/>
          <w:szCs w:val="24"/>
        </w:rPr>
        <w:t>Provide an overview of the provider and host institution. Include a brief explanation of accredited educator preparation programs. Provide readers with a clear understanding of the provider, its mission,</w:t>
      </w:r>
      <w:r w:rsidR="00B608AC">
        <w:rPr>
          <w:sz w:val="24"/>
          <w:szCs w:val="24"/>
        </w:rPr>
        <w:t xml:space="preserve"> </w:t>
      </w:r>
      <w:r w:rsidRPr="005607CB">
        <w:rPr>
          <w:sz w:val="24"/>
          <w:szCs w:val="24"/>
        </w:rPr>
        <w:t>and its context. Four or so brief paragraphs should suffice.</w:t>
      </w:r>
    </w:p>
    <w:tbl>
      <w:tblPr>
        <w:tblStyle w:val="a"/>
        <w:tblW w:w="9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80"/>
      </w:tblGrid>
      <w:tr w:rsidR="00FB0310" w14:paraId="0B7742D0" w14:textId="77777777" w:rsidTr="005607CB">
        <w:trPr>
          <w:trHeight w:val="1842"/>
        </w:trPr>
        <w:tc>
          <w:tcPr>
            <w:tcW w:w="9280" w:type="dxa"/>
            <w:shd w:val="clear" w:color="auto" w:fill="D0E0E3"/>
            <w:tcMar>
              <w:top w:w="100" w:type="dxa"/>
              <w:left w:w="100" w:type="dxa"/>
              <w:bottom w:w="100" w:type="dxa"/>
              <w:right w:w="100" w:type="dxa"/>
            </w:tcMar>
          </w:tcPr>
          <w:p w14:paraId="4013F8B0" w14:textId="257539DC" w:rsidR="0023497F" w:rsidRDefault="0023497F" w:rsidP="00B564C0">
            <w:pPr>
              <w:spacing w:line="240" w:lineRule="auto"/>
              <w:rPr>
                <w:lang w:val="en-US"/>
              </w:rPr>
            </w:pPr>
            <w:r w:rsidRPr="0023497F">
              <w:rPr>
                <w:lang w:val="en-US"/>
              </w:rPr>
              <w:t>Bemidji State University serves over 5,100 students in </w:t>
            </w:r>
            <w:hyperlink r:id="rId11" w:history="1">
              <w:r w:rsidRPr="0023497F">
                <w:rPr>
                  <w:lang w:val="en-US"/>
                </w:rPr>
                <w:t>undergraduate</w:t>
              </w:r>
            </w:hyperlink>
            <w:r w:rsidRPr="0023497F">
              <w:rPr>
                <w:lang w:val="en-US"/>
              </w:rPr>
              <w:t>, </w:t>
            </w:r>
            <w:hyperlink r:id="rId12" w:history="1">
              <w:r w:rsidRPr="0023497F">
                <w:rPr>
                  <w:lang w:val="en-US"/>
                </w:rPr>
                <w:t>graduate</w:t>
              </w:r>
            </w:hyperlink>
            <w:r w:rsidRPr="0023497F">
              <w:rPr>
                <w:lang w:val="en-US"/>
              </w:rPr>
              <w:t> and </w:t>
            </w:r>
            <w:hyperlink r:id="rId13" w:history="1">
              <w:r w:rsidRPr="0023497F">
                <w:rPr>
                  <w:lang w:val="en-US"/>
                </w:rPr>
                <w:t>online degree programs</w:t>
              </w:r>
            </w:hyperlink>
            <w:r w:rsidRPr="0023497F">
              <w:rPr>
                <w:lang w:val="en-US"/>
              </w:rPr>
              <w:t>.</w:t>
            </w:r>
            <w:r>
              <w:rPr>
                <w:lang w:val="en-US"/>
              </w:rPr>
              <w:t xml:space="preserve"> The university began in 1919 as Bemidji Normal School with 38 students. It was renamed Bemidji State Teachers College in 1921 after being chartered by the Minnesota State Legislature to offer teacher training as its primary program. </w:t>
            </w:r>
            <w:r w:rsidRPr="0023497F">
              <w:rPr>
                <w:lang w:val="en-US"/>
              </w:rPr>
              <w:t>Reflecting ongoing changes in the curriculum, the school was renamed Bemidji State College in 1957. In 1975, in recognition of its growing role as a multi-purpose educational institution, it became Bemidji State University.</w:t>
            </w:r>
          </w:p>
          <w:p w14:paraId="1D39662B" w14:textId="77777777" w:rsidR="00B564C0" w:rsidRDefault="00B564C0" w:rsidP="00B564C0">
            <w:pPr>
              <w:spacing w:line="240" w:lineRule="auto"/>
              <w:rPr>
                <w:lang w:val="en-US"/>
              </w:rPr>
            </w:pPr>
          </w:p>
          <w:p w14:paraId="08190B34" w14:textId="7554ADD5" w:rsidR="0023497F" w:rsidRPr="0023497F" w:rsidRDefault="0023497F" w:rsidP="00B36E47">
            <w:pPr>
              <w:spacing w:line="240" w:lineRule="auto"/>
            </w:pPr>
            <w:r>
              <w:rPr>
                <w:lang w:val="en-US"/>
              </w:rPr>
              <w:t xml:space="preserve">The Department of Professional Education is now </w:t>
            </w:r>
            <w:r w:rsidRPr="0023497F">
              <w:t>is the third largest program at Bemidji State University, with students</w:t>
            </w:r>
            <w:r>
              <w:t xml:space="preserve"> earning degrees in</w:t>
            </w:r>
            <w:r w:rsidRPr="0023497F">
              <w:t xml:space="preserve"> Elementary Education, Secondary Education, </w:t>
            </w:r>
            <w:r w:rsidR="00B564C0">
              <w:t xml:space="preserve">K-12 Education, </w:t>
            </w:r>
            <w:r w:rsidRPr="0023497F">
              <w:t>and Special Education</w:t>
            </w:r>
            <w:r w:rsidR="003008FA">
              <w:t xml:space="preserve"> (an online</w:t>
            </w:r>
            <w:r w:rsidR="00A213B4">
              <w:t xml:space="preserve"> graduate</w:t>
            </w:r>
            <w:r w:rsidR="003008FA">
              <w:t xml:space="preserve"> program</w:t>
            </w:r>
            <w:r w:rsidR="00C3535C">
              <w:t>)</w:t>
            </w:r>
            <w:r w:rsidRPr="0023497F">
              <w:t>.</w:t>
            </w:r>
            <w:r>
              <w:t xml:space="preserve"> </w:t>
            </w:r>
            <w:r w:rsidR="00B564C0">
              <w:t xml:space="preserve">Its conventional program is based on-campus in Bemidji, Minnesota but the department does have </w:t>
            </w:r>
            <w:r w:rsidR="00C3535C">
              <w:t xml:space="preserve">a PEDL (Professional Education Distance Learning) umbrella program, made up of </w:t>
            </w:r>
            <w:r w:rsidR="00B564C0">
              <w:t xml:space="preserve">two </w:t>
            </w:r>
            <w:r w:rsidR="00C3535C">
              <w:t>sub-</w:t>
            </w:r>
            <w:r w:rsidR="00B564C0">
              <w:t>programs</w:t>
            </w:r>
            <w:r w:rsidR="00C3535C">
              <w:t xml:space="preserve">, </w:t>
            </w:r>
            <w:r w:rsidR="00B564C0">
              <w:t xml:space="preserve">based in the Twin Cities. One is the </w:t>
            </w:r>
            <w:proofErr w:type="spellStart"/>
            <w:r w:rsidR="00B564C0">
              <w:t>DLiTE</w:t>
            </w:r>
            <w:proofErr w:type="spellEnd"/>
            <w:r w:rsidR="00B564C0">
              <w:t xml:space="preserve"> program, an undergraduate, elementary education program. The second is the </w:t>
            </w:r>
            <w:proofErr w:type="spellStart"/>
            <w:r w:rsidR="00B564C0">
              <w:t>FasTrack</w:t>
            </w:r>
            <w:proofErr w:type="spellEnd"/>
            <w:r w:rsidR="00B564C0">
              <w:t xml:space="preserve"> program, a graduate, secondary education program for students who already have a non-education degree. Additionally, </w:t>
            </w:r>
            <w:r w:rsidR="00A213B4">
              <w:t xml:space="preserve">BSU’s </w:t>
            </w:r>
            <w:proofErr w:type="spellStart"/>
            <w:r w:rsidR="00C3535C">
              <w:t>FasTrack</w:t>
            </w:r>
            <w:proofErr w:type="spellEnd"/>
            <w:r w:rsidR="00C3535C">
              <w:t xml:space="preserve">- Special Education and </w:t>
            </w:r>
            <w:r w:rsidR="00B564C0">
              <w:t xml:space="preserve">Special Education </w:t>
            </w:r>
            <w:r w:rsidR="00A213B4">
              <w:t xml:space="preserve">graduate </w:t>
            </w:r>
            <w:r w:rsidR="00B564C0">
              <w:t>degree is offered online</w:t>
            </w:r>
            <w:r w:rsidR="003008FA">
              <w:t xml:space="preserve"> to students in </w:t>
            </w:r>
            <w:r w:rsidR="00BF7101">
              <w:t xml:space="preserve">both the </w:t>
            </w:r>
            <w:proofErr w:type="spellStart"/>
            <w:r w:rsidR="003008FA" w:rsidRPr="00BF7101">
              <w:t>FasTrack</w:t>
            </w:r>
            <w:proofErr w:type="spellEnd"/>
            <w:r w:rsidR="003008FA">
              <w:t xml:space="preserve"> </w:t>
            </w:r>
            <w:r w:rsidR="00BF7101">
              <w:t xml:space="preserve">and Campus </w:t>
            </w:r>
            <w:r w:rsidR="003008FA">
              <w:t>program</w:t>
            </w:r>
            <w:r w:rsidR="00BF7101">
              <w:t>s</w:t>
            </w:r>
            <w:r w:rsidR="00B564C0">
              <w:t>.</w:t>
            </w:r>
            <w:r w:rsidR="00B36E47">
              <w:t xml:space="preserve"> The Education Department is currently accredited by AAQEP, the State of Minnesota’s Professional Educator Licensing and Standards Board (PELSB), and the Higher Learning Commission (HLC).</w:t>
            </w:r>
          </w:p>
          <w:p w14:paraId="6B3C9DAF" w14:textId="43CF9186" w:rsidR="0023497F" w:rsidRPr="0023497F" w:rsidRDefault="0023497F" w:rsidP="0023497F">
            <w:pPr>
              <w:spacing w:line="240" w:lineRule="auto"/>
              <w:rPr>
                <w:lang w:val="en-US"/>
              </w:rPr>
            </w:pPr>
          </w:p>
          <w:p w14:paraId="68209912" w14:textId="77777777" w:rsidR="00FB0310" w:rsidRDefault="00B564C0">
            <w:pPr>
              <w:spacing w:line="240" w:lineRule="auto"/>
            </w:pPr>
            <w:r>
              <w:t xml:space="preserve">Bemidji State University’s vision is that ‘We educate people to lead inspired lives.’ Our mission is that ‘We create an innovative, </w:t>
            </w:r>
            <w:r w:rsidRPr="00B564C0">
              <w:t>interdisciplinary and highly accessible learning environment committed to student success and a sustainable future for our communities, state and planet. Through the transformative power of the liberal arts, education in the professions, and robust engagement of our students, we instill and promote service to others, preservation of the earth, and respect and appreciation for the diverse peoples of our region and world.</w:t>
            </w:r>
            <w:r>
              <w:t xml:space="preserve">’ </w:t>
            </w:r>
          </w:p>
          <w:p w14:paraId="3C82E4F5" w14:textId="77777777" w:rsidR="00B564C0" w:rsidRDefault="00B564C0">
            <w:pPr>
              <w:spacing w:line="240" w:lineRule="auto"/>
            </w:pPr>
          </w:p>
          <w:p w14:paraId="340ECAC6" w14:textId="46E952C1" w:rsidR="00B564C0" w:rsidRPr="00B564C0" w:rsidRDefault="00B564C0" w:rsidP="00B564C0">
            <w:pPr>
              <w:spacing w:line="240" w:lineRule="auto"/>
            </w:pPr>
            <w:r>
              <w:t xml:space="preserve">The Department of Professional Education’s mission is </w:t>
            </w:r>
            <w:r w:rsidR="00BF7101">
              <w:t>that</w:t>
            </w:r>
            <w:r>
              <w:t xml:space="preserve"> </w:t>
            </w:r>
            <w:r w:rsidR="003008FA">
              <w:t>“</w:t>
            </w:r>
            <w:r w:rsidRPr="00B564C0">
              <w:t>BSU prepares teachers through inquisitive, involved and reflective practice. The </w:t>
            </w:r>
            <w:hyperlink r:id="rId14" w:tooltip="Conceptual Framework" w:history="1">
              <w:r w:rsidRPr="00B564C0">
                <w:t>framework outlining our program</w:t>
              </w:r>
            </w:hyperlink>
            <w:r w:rsidRPr="00B564C0">
              <w:t> sets a standard that is rigorous, exemplary and innovative. The curricular structure is research-</w:t>
            </w:r>
            <w:r w:rsidRPr="00B564C0">
              <w:lastRenderedPageBreak/>
              <w:t>based and organized around </w:t>
            </w:r>
            <w:hyperlink r:id="rId15" w:history="1">
              <w:r w:rsidRPr="00B564C0">
                <w:t>Standards of Effective Practice</w:t>
              </w:r>
            </w:hyperlink>
            <w:r w:rsidRPr="00B564C0">
              <w:t>. Graduates are proficient, collaborative, technologically literate and environmentally aware teachers who work effectively in various settings with diverse learners.</w:t>
            </w:r>
            <w:r>
              <w:t>’</w:t>
            </w:r>
            <w:r w:rsidR="00925911">
              <w:t xml:space="preserve"> As stated in our department’s Conceptual Framework, our central aim is to ‘produce effective teachers who are </w:t>
            </w:r>
            <w:r w:rsidR="00925911" w:rsidRPr="00925911">
              <w:t>reflective professionals and champions of multicultural understanding, civic engagement and environmental stewardship.</w:t>
            </w:r>
            <w:r w:rsidR="00925911">
              <w:t>’</w:t>
            </w:r>
          </w:p>
          <w:p w14:paraId="27448A38" w14:textId="7A16BA4C" w:rsidR="00A77FDF" w:rsidRDefault="00A77FDF">
            <w:pPr>
              <w:spacing w:line="240" w:lineRule="auto"/>
            </w:pPr>
            <w:r>
              <w:t xml:space="preserve"> </w:t>
            </w:r>
          </w:p>
        </w:tc>
      </w:tr>
    </w:tbl>
    <w:p w14:paraId="794AEF70" w14:textId="77777777" w:rsidR="00FB0310" w:rsidRDefault="00FB0310"/>
    <w:p w14:paraId="4AD09FA3" w14:textId="77777777" w:rsidR="00FB0310" w:rsidRDefault="00FB0310"/>
    <w:p w14:paraId="4089051C" w14:textId="118D703A" w:rsidR="00FB0310" w:rsidRPr="005607CB" w:rsidRDefault="000457E7">
      <w:pPr>
        <w:numPr>
          <w:ilvl w:val="0"/>
          <w:numId w:val="2"/>
        </w:numPr>
        <w:ind w:left="360"/>
        <w:rPr>
          <w:b/>
          <w:sz w:val="24"/>
          <w:szCs w:val="24"/>
        </w:rPr>
      </w:pPr>
      <w:r w:rsidRPr="005607CB">
        <w:rPr>
          <w:b/>
          <w:sz w:val="24"/>
          <w:szCs w:val="24"/>
        </w:rPr>
        <w:t>Program Specifics Update</w:t>
      </w:r>
    </w:p>
    <w:p w14:paraId="6395D54B" w14:textId="77777777" w:rsidR="00FB0310" w:rsidRPr="005607CB" w:rsidRDefault="000457E7">
      <w:pPr>
        <w:spacing w:after="200"/>
        <w:rPr>
          <w:sz w:val="24"/>
          <w:szCs w:val="24"/>
        </w:rPr>
      </w:pPr>
      <w:r w:rsidRPr="005607CB">
        <w:rPr>
          <w:sz w:val="24"/>
          <w:szCs w:val="24"/>
        </w:rPr>
        <w:t xml:space="preserve">In the table below, insert rows with information about </w:t>
      </w:r>
      <w:proofErr w:type="gramStart"/>
      <w:r w:rsidRPr="005607CB">
        <w:rPr>
          <w:sz w:val="24"/>
          <w:szCs w:val="24"/>
        </w:rPr>
        <w:t>all of</w:t>
      </w:r>
      <w:proofErr w:type="gramEnd"/>
      <w:r w:rsidRPr="005607CB">
        <w:rPr>
          <w:sz w:val="24"/>
          <w:szCs w:val="24"/>
        </w:rPr>
        <w:t xml:space="preserve"> your AAQEP-accredited programs, updated to reflect the most recent enrollment and completer data:</w:t>
      </w:r>
    </w:p>
    <w:p w14:paraId="06247B16" w14:textId="5847B994" w:rsidR="00FB0310" w:rsidRDefault="000457E7">
      <w:pPr>
        <w:rPr>
          <w:b/>
        </w:rPr>
      </w:pPr>
      <w:r>
        <w:rPr>
          <w:b/>
        </w:rPr>
        <w:t>Table 1. Program Specification: Enrollment and Completers</w:t>
      </w:r>
      <w:r w:rsidR="005607CB">
        <w:rPr>
          <w:b/>
        </w:rPr>
        <w:t xml:space="preserve"> for </w:t>
      </w:r>
      <w:r w:rsidR="00B608AC">
        <w:rPr>
          <w:b/>
        </w:rPr>
        <w:t>2018-2019</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2947"/>
        <w:gridCol w:w="2947"/>
        <w:gridCol w:w="1728"/>
        <w:gridCol w:w="1728"/>
      </w:tblGrid>
      <w:tr w:rsidR="00FB0310" w14:paraId="5A3DBDB4" w14:textId="77777777" w:rsidTr="005607CB">
        <w:trPr>
          <w:trHeight w:val="43"/>
        </w:trPr>
        <w:tc>
          <w:tcPr>
            <w:tcW w:w="1576" w:type="pct"/>
            <w:shd w:val="clear" w:color="auto" w:fill="auto"/>
            <w:tcMar>
              <w:top w:w="80" w:type="dxa"/>
              <w:left w:w="80" w:type="dxa"/>
              <w:bottom w:w="80" w:type="dxa"/>
              <w:right w:w="80" w:type="dxa"/>
            </w:tcMar>
          </w:tcPr>
          <w:p w14:paraId="4092B07E" w14:textId="77777777" w:rsidR="00FB0310" w:rsidRPr="005607CB" w:rsidRDefault="000457E7">
            <w:pPr>
              <w:spacing w:after="160" w:line="259" w:lineRule="auto"/>
              <w:rPr>
                <w:sz w:val="20"/>
                <w:szCs w:val="20"/>
              </w:rPr>
            </w:pPr>
            <w:bookmarkStart w:id="0" w:name="_oz78iuz2zlav" w:colFirst="0" w:colLast="0"/>
            <w:bookmarkEnd w:id="0"/>
            <w:r w:rsidRPr="005607CB">
              <w:rPr>
                <w:b/>
                <w:sz w:val="20"/>
                <w:szCs w:val="20"/>
              </w:rPr>
              <w:t xml:space="preserve">Degree/Program </w:t>
            </w:r>
            <w:r w:rsidRPr="005607CB">
              <w:rPr>
                <w:b/>
                <w:sz w:val="20"/>
                <w:szCs w:val="20"/>
              </w:rPr>
              <w:br/>
              <w:t>Name and Level</w:t>
            </w:r>
            <w:r w:rsidRPr="005607CB">
              <w:rPr>
                <w:sz w:val="20"/>
                <w:szCs w:val="20"/>
              </w:rPr>
              <w:t xml:space="preserve"> </w:t>
            </w:r>
            <w:r w:rsidRPr="005607CB">
              <w:rPr>
                <w:sz w:val="20"/>
                <w:szCs w:val="20"/>
              </w:rPr>
              <w:br/>
              <w:t xml:space="preserve">(list specific programs and levels, e.g., bachelor’s, master’s, post-baccalaureate, certificate only) </w:t>
            </w:r>
          </w:p>
        </w:tc>
        <w:tc>
          <w:tcPr>
            <w:tcW w:w="1576" w:type="pct"/>
            <w:shd w:val="clear" w:color="auto" w:fill="auto"/>
            <w:tcMar>
              <w:top w:w="80" w:type="dxa"/>
              <w:left w:w="80" w:type="dxa"/>
              <w:bottom w:w="80" w:type="dxa"/>
              <w:right w:w="80" w:type="dxa"/>
            </w:tcMar>
          </w:tcPr>
          <w:p w14:paraId="56899FC6" w14:textId="77777777" w:rsidR="00FB0310" w:rsidRPr="005607CB" w:rsidRDefault="000457E7">
            <w:pPr>
              <w:spacing w:after="160" w:line="259" w:lineRule="auto"/>
              <w:rPr>
                <w:sz w:val="20"/>
                <w:szCs w:val="20"/>
              </w:rPr>
            </w:pPr>
            <w:r w:rsidRPr="005607CB">
              <w:rPr>
                <w:b/>
                <w:sz w:val="20"/>
                <w:szCs w:val="20"/>
              </w:rPr>
              <w:t>Corresponding State Certificate, License, Endorsement, or Other Credential</w:t>
            </w:r>
            <w:r w:rsidRPr="005607CB">
              <w:rPr>
                <w:sz w:val="20"/>
                <w:szCs w:val="20"/>
              </w:rPr>
              <w:t xml:space="preserve"> (use a separate line for each certificate, license, endorsement, or other program)</w:t>
            </w:r>
          </w:p>
        </w:tc>
        <w:tc>
          <w:tcPr>
            <w:tcW w:w="924" w:type="pct"/>
            <w:shd w:val="clear" w:color="auto" w:fill="auto"/>
            <w:tcMar>
              <w:top w:w="80" w:type="dxa"/>
              <w:left w:w="80" w:type="dxa"/>
              <w:bottom w:w="80" w:type="dxa"/>
              <w:right w:w="80" w:type="dxa"/>
            </w:tcMar>
          </w:tcPr>
          <w:p w14:paraId="78C34C23" w14:textId="3BCBFB16" w:rsidR="00FB0310" w:rsidRPr="005607CB" w:rsidRDefault="000457E7">
            <w:pPr>
              <w:spacing w:after="160" w:line="259" w:lineRule="auto"/>
              <w:rPr>
                <w:sz w:val="20"/>
                <w:szCs w:val="20"/>
              </w:rPr>
            </w:pPr>
            <w:r w:rsidRPr="005607CB">
              <w:rPr>
                <w:b/>
                <w:sz w:val="20"/>
                <w:szCs w:val="20"/>
              </w:rPr>
              <w:t>Number of Candidates</w:t>
            </w:r>
            <w:r w:rsidRPr="005607CB">
              <w:rPr>
                <w:sz w:val="20"/>
                <w:szCs w:val="20"/>
              </w:rPr>
              <w:br/>
              <w:t>(currently enrolled—</w:t>
            </w:r>
            <w:r w:rsidRPr="005607CB">
              <w:rPr>
                <w:sz w:val="20"/>
                <w:szCs w:val="20"/>
              </w:rPr>
              <w:br/>
              <w:t>identify year</w:t>
            </w:r>
            <w:r w:rsidR="005607CB">
              <w:rPr>
                <w:sz w:val="20"/>
                <w:szCs w:val="20"/>
              </w:rPr>
              <w:t xml:space="preserve"> in title line above</w:t>
            </w:r>
            <w:r w:rsidRPr="005607CB">
              <w:rPr>
                <w:sz w:val="20"/>
                <w:szCs w:val="20"/>
              </w:rPr>
              <w:t>)</w:t>
            </w:r>
          </w:p>
        </w:tc>
        <w:tc>
          <w:tcPr>
            <w:tcW w:w="924" w:type="pct"/>
            <w:shd w:val="clear" w:color="auto" w:fill="auto"/>
            <w:tcMar>
              <w:top w:w="80" w:type="dxa"/>
              <w:left w:w="80" w:type="dxa"/>
              <w:bottom w:w="80" w:type="dxa"/>
              <w:right w:w="80" w:type="dxa"/>
            </w:tcMar>
          </w:tcPr>
          <w:p w14:paraId="774CD96A" w14:textId="74583307" w:rsidR="00FB0310" w:rsidRPr="005607CB" w:rsidRDefault="000457E7">
            <w:pPr>
              <w:spacing w:after="160" w:line="259" w:lineRule="auto"/>
              <w:rPr>
                <w:sz w:val="20"/>
                <w:szCs w:val="20"/>
              </w:rPr>
            </w:pPr>
            <w:r w:rsidRPr="005607CB">
              <w:rPr>
                <w:b/>
                <w:sz w:val="20"/>
                <w:szCs w:val="20"/>
              </w:rPr>
              <w:t>Number of Completers</w:t>
            </w:r>
            <w:r w:rsidRPr="005607CB">
              <w:rPr>
                <w:sz w:val="20"/>
                <w:szCs w:val="20"/>
              </w:rPr>
              <w:br/>
              <w:t>(most recently completed academic year—identify year</w:t>
            </w:r>
            <w:r w:rsidR="005607CB">
              <w:rPr>
                <w:sz w:val="20"/>
                <w:szCs w:val="20"/>
              </w:rPr>
              <w:t xml:space="preserve"> above</w:t>
            </w:r>
            <w:r w:rsidRPr="005607CB">
              <w:rPr>
                <w:sz w:val="20"/>
                <w:szCs w:val="20"/>
              </w:rPr>
              <w:t>)</w:t>
            </w:r>
          </w:p>
        </w:tc>
      </w:tr>
      <w:tr w:rsidR="00FB0310" w14:paraId="75B27061" w14:textId="77777777" w:rsidTr="00A77FDF">
        <w:trPr>
          <w:trHeight w:val="26"/>
        </w:trPr>
        <w:tc>
          <w:tcPr>
            <w:tcW w:w="1576" w:type="pct"/>
            <w:tcBorders>
              <w:bottom w:val="single" w:sz="4" w:space="0" w:color="000000"/>
            </w:tcBorders>
            <w:shd w:val="clear" w:color="auto" w:fill="D0E0E3"/>
            <w:tcMar>
              <w:top w:w="80" w:type="dxa"/>
              <w:left w:w="80" w:type="dxa"/>
              <w:bottom w:w="80" w:type="dxa"/>
              <w:right w:w="80" w:type="dxa"/>
            </w:tcMar>
          </w:tcPr>
          <w:p w14:paraId="0DA38885" w14:textId="0274346D" w:rsidR="00FB0310" w:rsidRPr="00CB6BCC" w:rsidRDefault="00CB6BCC">
            <w:pPr>
              <w:spacing w:line="240" w:lineRule="auto"/>
              <w:rPr>
                <w:sz w:val="20"/>
                <w:szCs w:val="20"/>
              </w:rPr>
            </w:pPr>
            <w:r w:rsidRPr="00CB6BCC">
              <w:rPr>
                <w:sz w:val="20"/>
                <w:szCs w:val="20"/>
              </w:rPr>
              <w:t>Campus</w:t>
            </w:r>
            <w:r>
              <w:rPr>
                <w:sz w:val="20"/>
                <w:szCs w:val="20"/>
              </w:rPr>
              <w:t>: Bachelor’s</w:t>
            </w:r>
          </w:p>
        </w:tc>
        <w:tc>
          <w:tcPr>
            <w:tcW w:w="1576" w:type="pct"/>
            <w:tcBorders>
              <w:bottom w:val="single" w:sz="4" w:space="0" w:color="000000"/>
            </w:tcBorders>
            <w:shd w:val="clear" w:color="auto" w:fill="D0E0E3"/>
            <w:tcMar>
              <w:top w:w="80" w:type="dxa"/>
              <w:left w:w="80" w:type="dxa"/>
              <w:bottom w:w="80" w:type="dxa"/>
              <w:right w:w="80" w:type="dxa"/>
            </w:tcMar>
          </w:tcPr>
          <w:p w14:paraId="55B91FE5" w14:textId="22195D03" w:rsidR="00FB0310" w:rsidRPr="00CB6BCC" w:rsidRDefault="00CB6BCC">
            <w:pPr>
              <w:spacing w:line="240" w:lineRule="auto"/>
              <w:rPr>
                <w:sz w:val="20"/>
                <w:szCs w:val="20"/>
              </w:rPr>
            </w:pPr>
            <w:r w:rsidRPr="00CB6BCC">
              <w:rPr>
                <w:sz w:val="20"/>
                <w:szCs w:val="20"/>
              </w:rPr>
              <w:t>Elementary Education License</w:t>
            </w:r>
          </w:p>
        </w:tc>
        <w:tc>
          <w:tcPr>
            <w:tcW w:w="924" w:type="pct"/>
            <w:shd w:val="clear" w:color="auto" w:fill="D0E0E3"/>
            <w:tcMar>
              <w:top w:w="80" w:type="dxa"/>
              <w:left w:w="80" w:type="dxa"/>
              <w:bottom w:w="80" w:type="dxa"/>
              <w:right w:w="80" w:type="dxa"/>
            </w:tcMar>
          </w:tcPr>
          <w:p w14:paraId="3A097C44" w14:textId="473CC709" w:rsidR="00FB0310" w:rsidRPr="00CB6BCC" w:rsidRDefault="00CB6BCC">
            <w:pPr>
              <w:spacing w:line="240" w:lineRule="auto"/>
              <w:rPr>
                <w:sz w:val="20"/>
                <w:szCs w:val="20"/>
              </w:rPr>
            </w:pPr>
            <w:r w:rsidRPr="00CB6BCC">
              <w:rPr>
                <w:sz w:val="20"/>
                <w:szCs w:val="20"/>
              </w:rPr>
              <w:t>98</w:t>
            </w:r>
          </w:p>
        </w:tc>
        <w:tc>
          <w:tcPr>
            <w:tcW w:w="924" w:type="pct"/>
            <w:shd w:val="clear" w:color="auto" w:fill="D0E0E3"/>
            <w:tcMar>
              <w:top w:w="80" w:type="dxa"/>
              <w:left w:w="80" w:type="dxa"/>
              <w:bottom w:w="80" w:type="dxa"/>
              <w:right w:w="80" w:type="dxa"/>
            </w:tcMar>
          </w:tcPr>
          <w:p w14:paraId="18F12202" w14:textId="04414EFD" w:rsidR="00FB0310" w:rsidRPr="00CB6BCC" w:rsidRDefault="00354230">
            <w:pPr>
              <w:spacing w:line="240" w:lineRule="auto"/>
              <w:rPr>
                <w:sz w:val="20"/>
                <w:szCs w:val="20"/>
              </w:rPr>
            </w:pPr>
            <w:r>
              <w:rPr>
                <w:sz w:val="20"/>
                <w:szCs w:val="20"/>
              </w:rPr>
              <w:t>39</w:t>
            </w:r>
          </w:p>
        </w:tc>
      </w:tr>
      <w:tr w:rsidR="00FB0310" w14:paraId="0DE5A3DC"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598E2848" w14:textId="252ABB64" w:rsidR="00FB0310" w:rsidRPr="00CB6BCC" w:rsidRDefault="00CB6BCC">
            <w:pPr>
              <w:spacing w:line="240" w:lineRule="auto"/>
              <w:rPr>
                <w:sz w:val="20"/>
                <w:szCs w:val="20"/>
              </w:rPr>
            </w:pPr>
            <w:r w:rsidRPr="00CB6BCC">
              <w:rPr>
                <w:sz w:val="20"/>
                <w:szCs w:val="20"/>
              </w:rPr>
              <w:t>Campus</w:t>
            </w:r>
            <w:r>
              <w:rPr>
                <w:sz w:val="20"/>
                <w:szCs w:val="20"/>
              </w:rPr>
              <w:t>: Bachelor’s</w:t>
            </w:r>
          </w:p>
        </w:tc>
        <w:tc>
          <w:tcPr>
            <w:tcW w:w="1576" w:type="pct"/>
            <w:tcBorders>
              <w:bottom w:val="single" w:sz="4" w:space="0" w:color="000000"/>
            </w:tcBorders>
            <w:shd w:val="clear" w:color="auto" w:fill="D0E0E3"/>
            <w:tcMar>
              <w:top w:w="80" w:type="dxa"/>
              <w:left w:w="80" w:type="dxa"/>
              <w:bottom w:w="80" w:type="dxa"/>
              <w:right w:w="80" w:type="dxa"/>
            </w:tcMar>
          </w:tcPr>
          <w:p w14:paraId="4BBF3440" w14:textId="326BC838" w:rsidR="00FB0310" w:rsidRPr="00CB6BCC" w:rsidRDefault="00CB6BCC">
            <w:pPr>
              <w:spacing w:line="240" w:lineRule="auto"/>
              <w:rPr>
                <w:sz w:val="20"/>
                <w:szCs w:val="20"/>
              </w:rPr>
            </w:pPr>
            <w:r w:rsidRPr="00CB6BCC">
              <w:rPr>
                <w:sz w:val="20"/>
                <w:szCs w:val="20"/>
              </w:rPr>
              <w:t>Elementary Education:</w:t>
            </w:r>
          </w:p>
          <w:p w14:paraId="3DAC337D" w14:textId="60BE5AD0" w:rsidR="00CB6BCC" w:rsidRPr="00CB6BCC" w:rsidRDefault="00CB6BCC">
            <w:pPr>
              <w:spacing w:line="240" w:lineRule="auto"/>
              <w:rPr>
                <w:sz w:val="20"/>
                <w:szCs w:val="20"/>
              </w:rPr>
            </w:pPr>
            <w:r w:rsidRPr="00CB6BCC">
              <w:rPr>
                <w:sz w:val="20"/>
                <w:szCs w:val="20"/>
              </w:rPr>
              <w:t>Middle Level English Endorsement</w:t>
            </w:r>
          </w:p>
        </w:tc>
        <w:tc>
          <w:tcPr>
            <w:tcW w:w="924" w:type="pct"/>
            <w:shd w:val="clear" w:color="auto" w:fill="D0E0E3"/>
            <w:tcMar>
              <w:top w:w="80" w:type="dxa"/>
              <w:left w:w="80" w:type="dxa"/>
              <w:bottom w:w="80" w:type="dxa"/>
              <w:right w:w="80" w:type="dxa"/>
            </w:tcMar>
          </w:tcPr>
          <w:p w14:paraId="12401A61" w14:textId="3F5DC7BD" w:rsidR="00FB0310" w:rsidRPr="00CB6BCC" w:rsidRDefault="00CB6BCC">
            <w:pPr>
              <w:spacing w:line="240" w:lineRule="auto"/>
              <w:rPr>
                <w:sz w:val="20"/>
                <w:szCs w:val="20"/>
              </w:rPr>
            </w:pPr>
            <w:r w:rsidRPr="00CB6BCC">
              <w:rPr>
                <w:sz w:val="20"/>
                <w:szCs w:val="20"/>
              </w:rPr>
              <w:t>8</w:t>
            </w:r>
          </w:p>
        </w:tc>
        <w:tc>
          <w:tcPr>
            <w:tcW w:w="924" w:type="pct"/>
            <w:shd w:val="clear" w:color="auto" w:fill="D0E0E3"/>
            <w:tcMar>
              <w:top w:w="80" w:type="dxa"/>
              <w:left w:w="80" w:type="dxa"/>
              <w:bottom w:w="80" w:type="dxa"/>
              <w:right w:w="80" w:type="dxa"/>
            </w:tcMar>
          </w:tcPr>
          <w:p w14:paraId="4040B828" w14:textId="587FEE97" w:rsidR="00FB0310" w:rsidRPr="00CB6BCC" w:rsidRDefault="00354230">
            <w:pPr>
              <w:spacing w:line="240" w:lineRule="auto"/>
              <w:rPr>
                <w:sz w:val="20"/>
                <w:szCs w:val="20"/>
              </w:rPr>
            </w:pPr>
            <w:r>
              <w:rPr>
                <w:sz w:val="20"/>
                <w:szCs w:val="20"/>
              </w:rPr>
              <w:t>3</w:t>
            </w:r>
          </w:p>
        </w:tc>
      </w:tr>
      <w:tr w:rsidR="00CB6BCC" w14:paraId="2D625B94"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3DCBF3C8" w14:textId="0040FB96" w:rsidR="00CB6BCC" w:rsidRPr="00CB6BCC" w:rsidRDefault="00CB6BCC" w:rsidP="00CB6BCC">
            <w:pPr>
              <w:spacing w:line="240" w:lineRule="auto"/>
              <w:rPr>
                <w:sz w:val="20"/>
                <w:szCs w:val="20"/>
              </w:rPr>
            </w:pPr>
            <w:r w:rsidRPr="00D64A72">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2A9E6F79" w14:textId="77777777" w:rsidR="00CB6BCC" w:rsidRDefault="00CB6BCC" w:rsidP="00CB6BCC">
            <w:pPr>
              <w:spacing w:line="240" w:lineRule="auto"/>
              <w:rPr>
                <w:sz w:val="20"/>
                <w:szCs w:val="20"/>
              </w:rPr>
            </w:pPr>
            <w:r w:rsidRPr="00CB6BCC">
              <w:rPr>
                <w:sz w:val="20"/>
                <w:szCs w:val="20"/>
              </w:rPr>
              <w:t xml:space="preserve">Elementary Education: </w:t>
            </w:r>
          </w:p>
          <w:p w14:paraId="545416B9" w14:textId="6A02D445" w:rsidR="00CB6BCC" w:rsidRPr="00CB6BCC" w:rsidRDefault="00CB6BCC" w:rsidP="00CB6BCC">
            <w:pPr>
              <w:spacing w:line="240" w:lineRule="auto"/>
              <w:rPr>
                <w:sz w:val="20"/>
                <w:szCs w:val="20"/>
              </w:rPr>
            </w:pPr>
            <w:r>
              <w:rPr>
                <w:sz w:val="20"/>
                <w:szCs w:val="20"/>
              </w:rPr>
              <w:t>Middle Level Math Endorsement</w:t>
            </w:r>
          </w:p>
        </w:tc>
        <w:tc>
          <w:tcPr>
            <w:tcW w:w="924" w:type="pct"/>
            <w:shd w:val="clear" w:color="auto" w:fill="D0E0E3"/>
            <w:tcMar>
              <w:top w:w="80" w:type="dxa"/>
              <w:left w:w="80" w:type="dxa"/>
              <w:bottom w:w="80" w:type="dxa"/>
              <w:right w:w="80" w:type="dxa"/>
            </w:tcMar>
          </w:tcPr>
          <w:p w14:paraId="38F89398" w14:textId="6438E5C7" w:rsidR="00CB6BCC" w:rsidRPr="00CB6BCC" w:rsidRDefault="00CB6BCC" w:rsidP="00CB6BCC">
            <w:pPr>
              <w:spacing w:line="240" w:lineRule="auto"/>
              <w:rPr>
                <w:sz w:val="20"/>
                <w:szCs w:val="20"/>
              </w:rPr>
            </w:pPr>
            <w:r>
              <w:rPr>
                <w:sz w:val="20"/>
                <w:szCs w:val="20"/>
              </w:rPr>
              <w:t>20</w:t>
            </w:r>
          </w:p>
        </w:tc>
        <w:tc>
          <w:tcPr>
            <w:tcW w:w="924" w:type="pct"/>
            <w:shd w:val="clear" w:color="auto" w:fill="D0E0E3"/>
            <w:tcMar>
              <w:top w:w="80" w:type="dxa"/>
              <w:left w:w="80" w:type="dxa"/>
              <w:bottom w:w="80" w:type="dxa"/>
              <w:right w:w="80" w:type="dxa"/>
            </w:tcMar>
          </w:tcPr>
          <w:p w14:paraId="334306A3" w14:textId="3EF0F6EA" w:rsidR="00CB6BCC" w:rsidRPr="00CB6BCC" w:rsidRDefault="00354230" w:rsidP="00CB6BCC">
            <w:pPr>
              <w:spacing w:line="240" w:lineRule="auto"/>
              <w:rPr>
                <w:sz w:val="20"/>
                <w:szCs w:val="20"/>
              </w:rPr>
            </w:pPr>
            <w:r>
              <w:rPr>
                <w:sz w:val="20"/>
                <w:szCs w:val="20"/>
              </w:rPr>
              <w:t>7</w:t>
            </w:r>
          </w:p>
        </w:tc>
      </w:tr>
      <w:tr w:rsidR="00CB6BCC" w14:paraId="048172F4"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03A7CB00" w14:textId="1E0A49A7" w:rsidR="00CB6BCC" w:rsidRPr="00CB6BCC" w:rsidRDefault="00CB6BCC" w:rsidP="00CB6BCC">
            <w:pPr>
              <w:spacing w:line="240" w:lineRule="auto"/>
              <w:rPr>
                <w:sz w:val="20"/>
                <w:szCs w:val="20"/>
              </w:rPr>
            </w:pPr>
            <w:r w:rsidRPr="00D64A72">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5D287EB3" w14:textId="77777777" w:rsidR="00CB6BCC" w:rsidRDefault="00CB6BCC" w:rsidP="00CB6BCC">
            <w:pPr>
              <w:spacing w:line="240" w:lineRule="auto"/>
              <w:rPr>
                <w:sz w:val="20"/>
                <w:szCs w:val="20"/>
              </w:rPr>
            </w:pPr>
            <w:r>
              <w:rPr>
                <w:sz w:val="20"/>
                <w:szCs w:val="20"/>
              </w:rPr>
              <w:t xml:space="preserve">Elementary Education: </w:t>
            </w:r>
          </w:p>
          <w:p w14:paraId="57237C71" w14:textId="5A8092A9" w:rsidR="00CB6BCC" w:rsidRPr="00CB6BCC" w:rsidRDefault="00CB6BCC" w:rsidP="00CB6BCC">
            <w:pPr>
              <w:spacing w:line="240" w:lineRule="auto"/>
              <w:rPr>
                <w:sz w:val="20"/>
                <w:szCs w:val="20"/>
              </w:rPr>
            </w:pPr>
            <w:r>
              <w:rPr>
                <w:sz w:val="20"/>
                <w:szCs w:val="20"/>
              </w:rPr>
              <w:t>Middle Level Science Endorsement</w:t>
            </w:r>
          </w:p>
        </w:tc>
        <w:tc>
          <w:tcPr>
            <w:tcW w:w="924" w:type="pct"/>
            <w:shd w:val="clear" w:color="auto" w:fill="D0E0E3"/>
            <w:tcMar>
              <w:top w:w="80" w:type="dxa"/>
              <w:left w:w="80" w:type="dxa"/>
              <w:bottom w:w="80" w:type="dxa"/>
              <w:right w:w="80" w:type="dxa"/>
            </w:tcMar>
          </w:tcPr>
          <w:p w14:paraId="0769D2CC" w14:textId="1187324B" w:rsidR="00CB6BCC" w:rsidRDefault="00CB6BCC" w:rsidP="00CB6BCC">
            <w:pPr>
              <w:spacing w:line="240" w:lineRule="auto"/>
              <w:rPr>
                <w:sz w:val="20"/>
                <w:szCs w:val="20"/>
              </w:rPr>
            </w:pPr>
            <w:r>
              <w:rPr>
                <w:sz w:val="20"/>
                <w:szCs w:val="20"/>
              </w:rPr>
              <w:t>2</w:t>
            </w:r>
          </w:p>
        </w:tc>
        <w:tc>
          <w:tcPr>
            <w:tcW w:w="924" w:type="pct"/>
            <w:shd w:val="clear" w:color="auto" w:fill="D0E0E3"/>
            <w:tcMar>
              <w:top w:w="80" w:type="dxa"/>
              <w:left w:w="80" w:type="dxa"/>
              <w:bottom w:w="80" w:type="dxa"/>
              <w:right w:w="80" w:type="dxa"/>
            </w:tcMar>
          </w:tcPr>
          <w:p w14:paraId="01C88420" w14:textId="3DE82549" w:rsidR="00CB6BCC" w:rsidRPr="00CB6BCC" w:rsidRDefault="00354230" w:rsidP="00CB6BCC">
            <w:pPr>
              <w:spacing w:line="240" w:lineRule="auto"/>
              <w:rPr>
                <w:sz w:val="20"/>
                <w:szCs w:val="20"/>
              </w:rPr>
            </w:pPr>
            <w:r>
              <w:rPr>
                <w:sz w:val="20"/>
                <w:szCs w:val="20"/>
              </w:rPr>
              <w:t>0</w:t>
            </w:r>
          </w:p>
        </w:tc>
      </w:tr>
      <w:tr w:rsidR="00CB6BCC" w14:paraId="719243C6"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0084E7BB" w14:textId="39469E7D" w:rsidR="00CB6BCC" w:rsidRDefault="00CB6BCC" w:rsidP="00CB6BCC">
            <w:pPr>
              <w:spacing w:line="240" w:lineRule="auto"/>
              <w:rPr>
                <w:sz w:val="20"/>
                <w:szCs w:val="20"/>
              </w:rPr>
            </w:pPr>
            <w:r w:rsidRPr="00D64A72">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73037349" w14:textId="77777777" w:rsidR="00CB6BCC" w:rsidRDefault="00CB6BCC" w:rsidP="00CB6BCC">
            <w:pPr>
              <w:spacing w:line="240" w:lineRule="auto"/>
              <w:rPr>
                <w:sz w:val="20"/>
                <w:szCs w:val="20"/>
              </w:rPr>
            </w:pPr>
            <w:r>
              <w:rPr>
                <w:sz w:val="20"/>
                <w:szCs w:val="20"/>
              </w:rPr>
              <w:t xml:space="preserve">Elementary Education: </w:t>
            </w:r>
          </w:p>
          <w:p w14:paraId="05BAA2EA" w14:textId="3EEDE32C" w:rsidR="00CB6BCC" w:rsidRDefault="00CB6BCC" w:rsidP="00CB6BCC">
            <w:pPr>
              <w:spacing w:line="240" w:lineRule="auto"/>
              <w:rPr>
                <w:sz w:val="20"/>
                <w:szCs w:val="20"/>
              </w:rPr>
            </w:pPr>
            <w:r>
              <w:rPr>
                <w:sz w:val="20"/>
                <w:szCs w:val="20"/>
              </w:rPr>
              <w:t>Middle Level Social Studies Endorsement</w:t>
            </w:r>
          </w:p>
        </w:tc>
        <w:tc>
          <w:tcPr>
            <w:tcW w:w="924" w:type="pct"/>
            <w:shd w:val="clear" w:color="auto" w:fill="D0E0E3"/>
            <w:tcMar>
              <w:top w:w="80" w:type="dxa"/>
              <w:left w:w="80" w:type="dxa"/>
              <w:bottom w:w="80" w:type="dxa"/>
              <w:right w:w="80" w:type="dxa"/>
            </w:tcMar>
          </w:tcPr>
          <w:p w14:paraId="6408A467" w14:textId="4730E0E2" w:rsidR="00CB6BCC" w:rsidRDefault="00CB6BCC" w:rsidP="00CB6BCC">
            <w:pPr>
              <w:spacing w:line="240" w:lineRule="auto"/>
              <w:rPr>
                <w:sz w:val="20"/>
                <w:szCs w:val="20"/>
              </w:rPr>
            </w:pPr>
            <w:r>
              <w:rPr>
                <w:sz w:val="20"/>
                <w:szCs w:val="20"/>
              </w:rPr>
              <w:t>4</w:t>
            </w:r>
          </w:p>
        </w:tc>
        <w:tc>
          <w:tcPr>
            <w:tcW w:w="924" w:type="pct"/>
            <w:shd w:val="clear" w:color="auto" w:fill="D0E0E3"/>
            <w:tcMar>
              <w:top w:w="80" w:type="dxa"/>
              <w:left w:w="80" w:type="dxa"/>
              <w:bottom w:w="80" w:type="dxa"/>
              <w:right w:w="80" w:type="dxa"/>
            </w:tcMar>
          </w:tcPr>
          <w:p w14:paraId="3A97EE00" w14:textId="3D3D439A" w:rsidR="00CB6BCC" w:rsidRPr="00CB6BCC" w:rsidRDefault="00354230" w:rsidP="00CB6BCC">
            <w:pPr>
              <w:spacing w:line="240" w:lineRule="auto"/>
              <w:rPr>
                <w:sz w:val="20"/>
                <w:szCs w:val="20"/>
              </w:rPr>
            </w:pPr>
            <w:r>
              <w:rPr>
                <w:sz w:val="20"/>
                <w:szCs w:val="20"/>
              </w:rPr>
              <w:t>3</w:t>
            </w:r>
          </w:p>
        </w:tc>
      </w:tr>
      <w:tr w:rsidR="00CB6BCC" w14:paraId="32BA4ECC"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08B0D745" w14:textId="231BD40B" w:rsidR="00CB6BCC" w:rsidRDefault="00CB6BCC" w:rsidP="00CB6BCC">
            <w:pPr>
              <w:spacing w:line="240" w:lineRule="auto"/>
              <w:rPr>
                <w:sz w:val="20"/>
                <w:szCs w:val="20"/>
              </w:rPr>
            </w:pPr>
            <w:r w:rsidRPr="00D64A72">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2689E1EF" w14:textId="77777777" w:rsidR="00CB6BCC" w:rsidRDefault="00CB6BCC" w:rsidP="00CB6BCC">
            <w:pPr>
              <w:spacing w:line="240" w:lineRule="auto"/>
              <w:rPr>
                <w:sz w:val="20"/>
                <w:szCs w:val="20"/>
              </w:rPr>
            </w:pPr>
            <w:r>
              <w:rPr>
                <w:sz w:val="20"/>
                <w:szCs w:val="20"/>
              </w:rPr>
              <w:t xml:space="preserve">Elementary Education: </w:t>
            </w:r>
          </w:p>
          <w:p w14:paraId="033F1CDB" w14:textId="478DC617" w:rsidR="00CB6BCC" w:rsidRDefault="00BF7101" w:rsidP="00CB6BCC">
            <w:pPr>
              <w:spacing w:line="240" w:lineRule="auto"/>
              <w:rPr>
                <w:sz w:val="20"/>
                <w:szCs w:val="20"/>
              </w:rPr>
            </w:pPr>
            <w:r>
              <w:rPr>
                <w:sz w:val="20"/>
                <w:szCs w:val="20"/>
              </w:rPr>
              <w:t>Preprimary</w:t>
            </w:r>
            <w:r w:rsidR="00CB6BCC">
              <w:rPr>
                <w:sz w:val="20"/>
                <w:szCs w:val="20"/>
              </w:rPr>
              <w:t xml:space="preserve"> Endorsement</w:t>
            </w:r>
          </w:p>
        </w:tc>
        <w:tc>
          <w:tcPr>
            <w:tcW w:w="924" w:type="pct"/>
            <w:shd w:val="clear" w:color="auto" w:fill="D0E0E3"/>
            <w:tcMar>
              <w:top w:w="80" w:type="dxa"/>
              <w:left w:w="80" w:type="dxa"/>
              <w:bottom w:w="80" w:type="dxa"/>
              <w:right w:w="80" w:type="dxa"/>
            </w:tcMar>
          </w:tcPr>
          <w:p w14:paraId="2742A62C" w14:textId="413B0863" w:rsidR="00CB6BCC" w:rsidRDefault="00CB6BCC" w:rsidP="00CB6BCC">
            <w:pPr>
              <w:spacing w:line="240" w:lineRule="auto"/>
              <w:rPr>
                <w:sz w:val="20"/>
                <w:szCs w:val="20"/>
              </w:rPr>
            </w:pPr>
            <w:r>
              <w:rPr>
                <w:sz w:val="20"/>
                <w:szCs w:val="20"/>
              </w:rPr>
              <w:t>34</w:t>
            </w:r>
          </w:p>
        </w:tc>
        <w:tc>
          <w:tcPr>
            <w:tcW w:w="924" w:type="pct"/>
            <w:shd w:val="clear" w:color="auto" w:fill="D0E0E3"/>
            <w:tcMar>
              <w:top w:w="80" w:type="dxa"/>
              <w:left w:w="80" w:type="dxa"/>
              <w:bottom w:w="80" w:type="dxa"/>
              <w:right w:w="80" w:type="dxa"/>
            </w:tcMar>
          </w:tcPr>
          <w:p w14:paraId="42EDAAB2" w14:textId="1960FFE9" w:rsidR="00CB6BCC" w:rsidRPr="00CB6BCC" w:rsidRDefault="00354230" w:rsidP="00CB6BCC">
            <w:pPr>
              <w:spacing w:line="240" w:lineRule="auto"/>
              <w:rPr>
                <w:sz w:val="20"/>
                <w:szCs w:val="20"/>
              </w:rPr>
            </w:pPr>
            <w:r>
              <w:rPr>
                <w:sz w:val="20"/>
                <w:szCs w:val="20"/>
              </w:rPr>
              <w:t>14</w:t>
            </w:r>
          </w:p>
        </w:tc>
      </w:tr>
      <w:tr w:rsidR="00CB6BCC" w14:paraId="5A800694"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4BF4E9E9" w14:textId="393136A3" w:rsidR="00CB6BCC" w:rsidRPr="00D64A72" w:rsidRDefault="00CB6BCC" w:rsidP="00CB6BCC">
            <w:pPr>
              <w:spacing w:line="240" w:lineRule="auto"/>
              <w:rPr>
                <w:sz w:val="20"/>
                <w:szCs w:val="20"/>
              </w:rPr>
            </w:pPr>
            <w:r>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0DBE6DC2" w14:textId="2D88C34E" w:rsidR="00CB6BCC" w:rsidRDefault="00CB6BCC" w:rsidP="00CB6BCC">
            <w:pPr>
              <w:spacing w:line="240" w:lineRule="auto"/>
              <w:rPr>
                <w:sz w:val="20"/>
                <w:szCs w:val="20"/>
              </w:rPr>
            </w:pPr>
            <w:r>
              <w:rPr>
                <w:sz w:val="20"/>
                <w:szCs w:val="20"/>
              </w:rPr>
              <w:t>English Education License</w:t>
            </w:r>
          </w:p>
        </w:tc>
        <w:tc>
          <w:tcPr>
            <w:tcW w:w="924" w:type="pct"/>
            <w:shd w:val="clear" w:color="auto" w:fill="D0E0E3"/>
            <w:tcMar>
              <w:top w:w="80" w:type="dxa"/>
              <w:left w:w="80" w:type="dxa"/>
              <w:bottom w:w="80" w:type="dxa"/>
              <w:right w:w="80" w:type="dxa"/>
            </w:tcMar>
          </w:tcPr>
          <w:p w14:paraId="5D856458" w14:textId="4D39485D" w:rsidR="00CB6BCC" w:rsidRDefault="00CB6BCC" w:rsidP="00CB6BCC">
            <w:pPr>
              <w:spacing w:line="240" w:lineRule="auto"/>
              <w:rPr>
                <w:sz w:val="20"/>
                <w:szCs w:val="20"/>
              </w:rPr>
            </w:pPr>
            <w:r>
              <w:rPr>
                <w:sz w:val="20"/>
                <w:szCs w:val="20"/>
              </w:rPr>
              <w:t>12</w:t>
            </w:r>
          </w:p>
        </w:tc>
        <w:tc>
          <w:tcPr>
            <w:tcW w:w="924" w:type="pct"/>
            <w:shd w:val="clear" w:color="auto" w:fill="D0E0E3"/>
            <w:tcMar>
              <w:top w:w="80" w:type="dxa"/>
              <w:left w:w="80" w:type="dxa"/>
              <w:bottom w:w="80" w:type="dxa"/>
              <w:right w:w="80" w:type="dxa"/>
            </w:tcMar>
          </w:tcPr>
          <w:p w14:paraId="61677F00" w14:textId="394641B8" w:rsidR="00CB6BCC" w:rsidRPr="00CB6BCC" w:rsidRDefault="00354230" w:rsidP="00CB6BCC">
            <w:pPr>
              <w:spacing w:line="240" w:lineRule="auto"/>
              <w:rPr>
                <w:sz w:val="20"/>
                <w:szCs w:val="20"/>
              </w:rPr>
            </w:pPr>
            <w:r>
              <w:rPr>
                <w:sz w:val="20"/>
                <w:szCs w:val="20"/>
              </w:rPr>
              <w:t>2</w:t>
            </w:r>
          </w:p>
        </w:tc>
      </w:tr>
      <w:tr w:rsidR="00CB6BCC" w14:paraId="73942D1C"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336FC9F1" w14:textId="7691B017" w:rsidR="00CB6BCC" w:rsidRDefault="00CB6BCC" w:rsidP="00CB6BCC">
            <w:pPr>
              <w:spacing w:line="240" w:lineRule="auto"/>
              <w:rPr>
                <w:sz w:val="20"/>
                <w:szCs w:val="20"/>
              </w:rPr>
            </w:pPr>
            <w:r>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62A2E024" w14:textId="2114A699" w:rsidR="00CB6BCC" w:rsidRDefault="00CB6BCC" w:rsidP="00CB6BCC">
            <w:pPr>
              <w:spacing w:line="240" w:lineRule="auto"/>
              <w:rPr>
                <w:sz w:val="20"/>
                <w:szCs w:val="20"/>
              </w:rPr>
            </w:pPr>
            <w:r>
              <w:rPr>
                <w:sz w:val="20"/>
                <w:szCs w:val="20"/>
              </w:rPr>
              <w:t>Math Education License</w:t>
            </w:r>
          </w:p>
        </w:tc>
        <w:tc>
          <w:tcPr>
            <w:tcW w:w="924" w:type="pct"/>
            <w:shd w:val="clear" w:color="auto" w:fill="D0E0E3"/>
            <w:tcMar>
              <w:top w:w="80" w:type="dxa"/>
              <w:left w:w="80" w:type="dxa"/>
              <w:bottom w:w="80" w:type="dxa"/>
              <w:right w:w="80" w:type="dxa"/>
            </w:tcMar>
          </w:tcPr>
          <w:p w14:paraId="1D7DAAC2" w14:textId="545CF098" w:rsidR="00CB6BCC" w:rsidRDefault="00CB6BCC" w:rsidP="00CB6BCC">
            <w:pPr>
              <w:spacing w:line="240" w:lineRule="auto"/>
              <w:rPr>
                <w:sz w:val="20"/>
                <w:szCs w:val="20"/>
              </w:rPr>
            </w:pPr>
            <w:r>
              <w:rPr>
                <w:sz w:val="20"/>
                <w:szCs w:val="20"/>
              </w:rPr>
              <w:t>17</w:t>
            </w:r>
          </w:p>
        </w:tc>
        <w:tc>
          <w:tcPr>
            <w:tcW w:w="924" w:type="pct"/>
            <w:shd w:val="clear" w:color="auto" w:fill="D0E0E3"/>
            <w:tcMar>
              <w:top w:w="80" w:type="dxa"/>
              <w:left w:w="80" w:type="dxa"/>
              <w:bottom w:w="80" w:type="dxa"/>
              <w:right w:w="80" w:type="dxa"/>
            </w:tcMar>
          </w:tcPr>
          <w:p w14:paraId="790C9A9B" w14:textId="575412E6" w:rsidR="00CB6BCC" w:rsidRPr="00CB6BCC" w:rsidRDefault="00354230" w:rsidP="00CB6BCC">
            <w:pPr>
              <w:spacing w:line="240" w:lineRule="auto"/>
              <w:rPr>
                <w:sz w:val="20"/>
                <w:szCs w:val="20"/>
              </w:rPr>
            </w:pPr>
            <w:r>
              <w:rPr>
                <w:sz w:val="20"/>
                <w:szCs w:val="20"/>
              </w:rPr>
              <w:t>4</w:t>
            </w:r>
          </w:p>
        </w:tc>
      </w:tr>
      <w:tr w:rsidR="00CB6BCC" w14:paraId="3B4114EB"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151DE809" w14:textId="157E8C54" w:rsidR="00CB6BCC" w:rsidRDefault="00CB6BCC" w:rsidP="00CB6BCC">
            <w:pPr>
              <w:spacing w:line="240" w:lineRule="auto"/>
              <w:rPr>
                <w:sz w:val="20"/>
                <w:szCs w:val="20"/>
              </w:rPr>
            </w:pPr>
            <w:r>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375B6A07" w14:textId="79FF83D4" w:rsidR="00CB6BCC" w:rsidRDefault="00CB6BCC" w:rsidP="00CB6BCC">
            <w:pPr>
              <w:spacing w:line="240" w:lineRule="auto"/>
              <w:rPr>
                <w:sz w:val="20"/>
                <w:szCs w:val="20"/>
              </w:rPr>
            </w:pPr>
            <w:r>
              <w:rPr>
                <w:sz w:val="20"/>
                <w:szCs w:val="20"/>
              </w:rPr>
              <w:t>Music: Vocal Education License</w:t>
            </w:r>
          </w:p>
        </w:tc>
        <w:tc>
          <w:tcPr>
            <w:tcW w:w="924" w:type="pct"/>
            <w:shd w:val="clear" w:color="auto" w:fill="D0E0E3"/>
            <w:tcMar>
              <w:top w:w="80" w:type="dxa"/>
              <w:left w:w="80" w:type="dxa"/>
              <w:bottom w:w="80" w:type="dxa"/>
              <w:right w:w="80" w:type="dxa"/>
            </w:tcMar>
          </w:tcPr>
          <w:p w14:paraId="48FF5054" w14:textId="5A715938" w:rsidR="00CB6BCC" w:rsidRDefault="00CB6BCC" w:rsidP="00CB6BCC">
            <w:pPr>
              <w:spacing w:line="240" w:lineRule="auto"/>
              <w:rPr>
                <w:sz w:val="20"/>
                <w:szCs w:val="20"/>
              </w:rPr>
            </w:pPr>
            <w:r>
              <w:rPr>
                <w:sz w:val="20"/>
                <w:szCs w:val="20"/>
              </w:rPr>
              <w:t>7</w:t>
            </w:r>
          </w:p>
        </w:tc>
        <w:tc>
          <w:tcPr>
            <w:tcW w:w="924" w:type="pct"/>
            <w:shd w:val="clear" w:color="auto" w:fill="D0E0E3"/>
            <w:tcMar>
              <w:top w:w="80" w:type="dxa"/>
              <w:left w:w="80" w:type="dxa"/>
              <w:bottom w:w="80" w:type="dxa"/>
              <w:right w:w="80" w:type="dxa"/>
            </w:tcMar>
          </w:tcPr>
          <w:p w14:paraId="05B992CA" w14:textId="4F65E057" w:rsidR="00CB6BCC" w:rsidRPr="00CB6BCC" w:rsidRDefault="00354230" w:rsidP="00CB6BCC">
            <w:pPr>
              <w:spacing w:line="240" w:lineRule="auto"/>
              <w:rPr>
                <w:sz w:val="20"/>
                <w:szCs w:val="20"/>
              </w:rPr>
            </w:pPr>
            <w:r>
              <w:rPr>
                <w:sz w:val="20"/>
                <w:szCs w:val="20"/>
              </w:rPr>
              <w:t>5</w:t>
            </w:r>
          </w:p>
        </w:tc>
      </w:tr>
      <w:tr w:rsidR="00CB6BCC" w14:paraId="2E3948E5"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74BDD7F5" w14:textId="1E9EAE4D" w:rsidR="00CB6BCC" w:rsidRDefault="00CB6BCC" w:rsidP="00CB6BCC">
            <w:pPr>
              <w:spacing w:line="240" w:lineRule="auto"/>
              <w:rPr>
                <w:sz w:val="20"/>
                <w:szCs w:val="20"/>
              </w:rPr>
            </w:pPr>
            <w:r>
              <w:rPr>
                <w:sz w:val="20"/>
                <w:szCs w:val="20"/>
              </w:rPr>
              <w:lastRenderedPageBreak/>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3212C685" w14:textId="1EC4CF5F" w:rsidR="00CB6BCC" w:rsidRDefault="00CB6BCC" w:rsidP="00CB6BCC">
            <w:pPr>
              <w:spacing w:line="240" w:lineRule="auto"/>
              <w:rPr>
                <w:sz w:val="20"/>
                <w:szCs w:val="20"/>
              </w:rPr>
            </w:pPr>
            <w:r>
              <w:rPr>
                <w:sz w:val="20"/>
                <w:szCs w:val="20"/>
              </w:rPr>
              <w:t>Music: Instrumental Education License</w:t>
            </w:r>
          </w:p>
        </w:tc>
        <w:tc>
          <w:tcPr>
            <w:tcW w:w="924" w:type="pct"/>
            <w:shd w:val="clear" w:color="auto" w:fill="D0E0E3"/>
            <w:tcMar>
              <w:top w:w="80" w:type="dxa"/>
              <w:left w:w="80" w:type="dxa"/>
              <w:bottom w:w="80" w:type="dxa"/>
              <w:right w:w="80" w:type="dxa"/>
            </w:tcMar>
          </w:tcPr>
          <w:p w14:paraId="1556A12E" w14:textId="7F5427B4" w:rsidR="00CB6BCC" w:rsidRDefault="00CB6BCC" w:rsidP="00CB6BCC">
            <w:pPr>
              <w:spacing w:line="240" w:lineRule="auto"/>
              <w:rPr>
                <w:sz w:val="20"/>
                <w:szCs w:val="20"/>
              </w:rPr>
            </w:pPr>
            <w:r>
              <w:rPr>
                <w:sz w:val="20"/>
                <w:szCs w:val="20"/>
              </w:rPr>
              <w:t>4</w:t>
            </w:r>
          </w:p>
        </w:tc>
        <w:tc>
          <w:tcPr>
            <w:tcW w:w="924" w:type="pct"/>
            <w:shd w:val="clear" w:color="auto" w:fill="D0E0E3"/>
            <w:tcMar>
              <w:top w:w="80" w:type="dxa"/>
              <w:left w:w="80" w:type="dxa"/>
              <w:bottom w:w="80" w:type="dxa"/>
              <w:right w:w="80" w:type="dxa"/>
            </w:tcMar>
          </w:tcPr>
          <w:p w14:paraId="3772126A" w14:textId="125C3AD5" w:rsidR="00CB6BCC" w:rsidRPr="00CB6BCC" w:rsidRDefault="00354230" w:rsidP="00CB6BCC">
            <w:pPr>
              <w:spacing w:line="240" w:lineRule="auto"/>
              <w:rPr>
                <w:sz w:val="20"/>
                <w:szCs w:val="20"/>
              </w:rPr>
            </w:pPr>
            <w:r>
              <w:rPr>
                <w:sz w:val="20"/>
                <w:szCs w:val="20"/>
              </w:rPr>
              <w:t>1</w:t>
            </w:r>
          </w:p>
        </w:tc>
      </w:tr>
      <w:tr w:rsidR="00CB6BCC" w14:paraId="00BFA117"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615EEC89" w14:textId="03596863" w:rsidR="00CB6BCC" w:rsidRDefault="00CB6BCC" w:rsidP="00CB6BCC">
            <w:pPr>
              <w:spacing w:line="240" w:lineRule="auto"/>
              <w:rPr>
                <w:sz w:val="20"/>
                <w:szCs w:val="20"/>
              </w:rPr>
            </w:pPr>
            <w:r>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11A5240E" w14:textId="4588C885" w:rsidR="00CB6BCC" w:rsidRDefault="00CB6BCC" w:rsidP="00CB6BCC">
            <w:pPr>
              <w:spacing w:line="240" w:lineRule="auto"/>
              <w:rPr>
                <w:sz w:val="20"/>
                <w:szCs w:val="20"/>
              </w:rPr>
            </w:pPr>
            <w:r>
              <w:rPr>
                <w:sz w:val="20"/>
                <w:szCs w:val="20"/>
              </w:rPr>
              <w:t>Social Studies Education License</w:t>
            </w:r>
          </w:p>
        </w:tc>
        <w:tc>
          <w:tcPr>
            <w:tcW w:w="924" w:type="pct"/>
            <w:shd w:val="clear" w:color="auto" w:fill="D0E0E3"/>
            <w:tcMar>
              <w:top w:w="80" w:type="dxa"/>
              <w:left w:w="80" w:type="dxa"/>
              <w:bottom w:w="80" w:type="dxa"/>
              <w:right w:w="80" w:type="dxa"/>
            </w:tcMar>
          </w:tcPr>
          <w:p w14:paraId="0764F03A" w14:textId="1E3FF126" w:rsidR="00CB6BCC" w:rsidRDefault="00CB6BCC" w:rsidP="00CB6BCC">
            <w:pPr>
              <w:spacing w:line="240" w:lineRule="auto"/>
              <w:rPr>
                <w:sz w:val="20"/>
                <w:szCs w:val="20"/>
              </w:rPr>
            </w:pPr>
            <w:r>
              <w:rPr>
                <w:sz w:val="20"/>
                <w:szCs w:val="20"/>
              </w:rPr>
              <w:t>19</w:t>
            </w:r>
          </w:p>
        </w:tc>
        <w:tc>
          <w:tcPr>
            <w:tcW w:w="924" w:type="pct"/>
            <w:shd w:val="clear" w:color="auto" w:fill="D0E0E3"/>
            <w:tcMar>
              <w:top w:w="80" w:type="dxa"/>
              <w:left w:w="80" w:type="dxa"/>
              <w:bottom w:w="80" w:type="dxa"/>
              <w:right w:w="80" w:type="dxa"/>
            </w:tcMar>
          </w:tcPr>
          <w:p w14:paraId="46608AF5" w14:textId="7749ACF5" w:rsidR="00CB6BCC" w:rsidRPr="00CB6BCC" w:rsidRDefault="00354230" w:rsidP="00CB6BCC">
            <w:pPr>
              <w:spacing w:line="240" w:lineRule="auto"/>
              <w:rPr>
                <w:sz w:val="20"/>
                <w:szCs w:val="20"/>
              </w:rPr>
            </w:pPr>
            <w:r>
              <w:rPr>
                <w:sz w:val="20"/>
                <w:szCs w:val="20"/>
              </w:rPr>
              <w:t>3</w:t>
            </w:r>
          </w:p>
        </w:tc>
      </w:tr>
      <w:tr w:rsidR="00CB6BCC" w14:paraId="32A9B770"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3FC127EB" w14:textId="4DF34897" w:rsidR="00CB6BCC" w:rsidRDefault="00CB6BCC" w:rsidP="00CB6BCC">
            <w:pPr>
              <w:spacing w:line="240" w:lineRule="auto"/>
              <w:rPr>
                <w:sz w:val="20"/>
                <w:szCs w:val="20"/>
              </w:rPr>
            </w:pPr>
            <w:r>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70253BC2" w14:textId="1ADAE3D8" w:rsidR="00CB6BCC" w:rsidRDefault="00CB6BCC" w:rsidP="00CB6BCC">
            <w:pPr>
              <w:spacing w:line="240" w:lineRule="auto"/>
              <w:rPr>
                <w:sz w:val="20"/>
                <w:szCs w:val="20"/>
              </w:rPr>
            </w:pPr>
            <w:r>
              <w:rPr>
                <w:sz w:val="20"/>
                <w:szCs w:val="20"/>
              </w:rPr>
              <w:t>Science: Chemistry Education License</w:t>
            </w:r>
          </w:p>
        </w:tc>
        <w:tc>
          <w:tcPr>
            <w:tcW w:w="924" w:type="pct"/>
            <w:shd w:val="clear" w:color="auto" w:fill="D0E0E3"/>
            <w:tcMar>
              <w:top w:w="80" w:type="dxa"/>
              <w:left w:w="80" w:type="dxa"/>
              <w:bottom w:w="80" w:type="dxa"/>
              <w:right w:w="80" w:type="dxa"/>
            </w:tcMar>
          </w:tcPr>
          <w:p w14:paraId="5F727610" w14:textId="4996F068" w:rsidR="00CB6BCC" w:rsidRDefault="00CB6BCC" w:rsidP="00CB6BCC">
            <w:pPr>
              <w:spacing w:line="240" w:lineRule="auto"/>
              <w:rPr>
                <w:sz w:val="20"/>
                <w:szCs w:val="20"/>
              </w:rPr>
            </w:pPr>
            <w:r>
              <w:rPr>
                <w:sz w:val="20"/>
                <w:szCs w:val="20"/>
              </w:rPr>
              <w:t>2</w:t>
            </w:r>
          </w:p>
        </w:tc>
        <w:tc>
          <w:tcPr>
            <w:tcW w:w="924" w:type="pct"/>
            <w:shd w:val="clear" w:color="auto" w:fill="D0E0E3"/>
            <w:tcMar>
              <w:top w:w="80" w:type="dxa"/>
              <w:left w:w="80" w:type="dxa"/>
              <w:bottom w:w="80" w:type="dxa"/>
              <w:right w:w="80" w:type="dxa"/>
            </w:tcMar>
          </w:tcPr>
          <w:p w14:paraId="452835EE" w14:textId="0DEB3CDC" w:rsidR="00CB6BCC" w:rsidRPr="00CB6BCC" w:rsidRDefault="00354230" w:rsidP="00CB6BCC">
            <w:pPr>
              <w:spacing w:line="240" w:lineRule="auto"/>
              <w:rPr>
                <w:sz w:val="20"/>
                <w:szCs w:val="20"/>
              </w:rPr>
            </w:pPr>
            <w:r>
              <w:rPr>
                <w:sz w:val="20"/>
                <w:szCs w:val="20"/>
              </w:rPr>
              <w:t>0</w:t>
            </w:r>
          </w:p>
        </w:tc>
      </w:tr>
      <w:tr w:rsidR="00CB6BCC" w14:paraId="79764846"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5A827520" w14:textId="1FBB047A" w:rsidR="00CB6BCC" w:rsidRDefault="00CB6BCC" w:rsidP="00CB6BCC">
            <w:pPr>
              <w:spacing w:line="240" w:lineRule="auto"/>
              <w:rPr>
                <w:sz w:val="20"/>
                <w:szCs w:val="20"/>
              </w:rPr>
            </w:pPr>
            <w:r>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59D445A2" w14:textId="437623B8" w:rsidR="00CB6BCC" w:rsidRDefault="00CB6BCC" w:rsidP="00CB6BCC">
            <w:pPr>
              <w:spacing w:line="240" w:lineRule="auto"/>
              <w:rPr>
                <w:sz w:val="20"/>
                <w:szCs w:val="20"/>
              </w:rPr>
            </w:pPr>
            <w:r>
              <w:rPr>
                <w:sz w:val="20"/>
                <w:szCs w:val="20"/>
              </w:rPr>
              <w:t>Science: Earth Space Education License</w:t>
            </w:r>
          </w:p>
        </w:tc>
        <w:tc>
          <w:tcPr>
            <w:tcW w:w="924" w:type="pct"/>
            <w:shd w:val="clear" w:color="auto" w:fill="D0E0E3"/>
            <w:tcMar>
              <w:top w:w="80" w:type="dxa"/>
              <w:left w:w="80" w:type="dxa"/>
              <w:bottom w:w="80" w:type="dxa"/>
              <w:right w:w="80" w:type="dxa"/>
            </w:tcMar>
          </w:tcPr>
          <w:p w14:paraId="3F803F1A" w14:textId="577C2107" w:rsidR="00CB6BCC" w:rsidRDefault="00CB6BCC" w:rsidP="00CB6BCC">
            <w:pPr>
              <w:spacing w:line="240" w:lineRule="auto"/>
              <w:rPr>
                <w:sz w:val="20"/>
                <w:szCs w:val="20"/>
              </w:rPr>
            </w:pPr>
            <w:r>
              <w:rPr>
                <w:sz w:val="20"/>
                <w:szCs w:val="20"/>
              </w:rPr>
              <w:t>2</w:t>
            </w:r>
          </w:p>
        </w:tc>
        <w:tc>
          <w:tcPr>
            <w:tcW w:w="924" w:type="pct"/>
            <w:shd w:val="clear" w:color="auto" w:fill="D0E0E3"/>
            <w:tcMar>
              <w:top w:w="80" w:type="dxa"/>
              <w:left w:w="80" w:type="dxa"/>
              <w:bottom w:w="80" w:type="dxa"/>
              <w:right w:w="80" w:type="dxa"/>
            </w:tcMar>
          </w:tcPr>
          <w:p w14:paraId="3601ADD3" w14:textId="607D19F4" w:rsidR="00CB6BCC" w:rsidRPr="00CB6BCC" w:rsidRDefault="00354230" w:rsidP="00CB6BCC">
            <w:pPr>
              <w:spacing w:line="240" w:lineRule="auto"/>
              <w:rPr>
                <w:sz w:val="20"/>
                <w:szCs w:val="20"/>
              </w:rPr>
            </w:pPr>
            <w:r>
              <w:rPr>
                <w:sz w:val="20"/>
                <w:szCs w:val="20"/>
              </w:rPr>
              <w:t>1</w:t>
            </w:r>
          </w:p>
        </w:tc>
      </w:tr>
      <w:tr w:rsidR="00CB6BCC" w14:paraId="7AA55DB8"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4F8C195D" w14:textId="06BDB3AE" w:rsidR="00CB6BCC" w:rsidRDefault="00CB6BCC" w:rsidP="00CB6BCC">
            <w:pPr>
              <w:spacing w:line="240" w:lineRule="auto"/>
              <w:rPr>
                <w:sz w:val="20"/>
                <w:szCs w:val="20"/>
              </w:rPr>
            </w:pPr>
            <w:r>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4CB5E1EC" w14:textId="6C12117E" w:rsidR="00CB6BCC" w:rsidRDefault="00CB6BCC" w:rsidP="00CB6BCC">
            <w:pPr>
              <w:spacing w:line="240" w:lineRule="auto"/>
              <w:rPr>
                <w:sz w:val="20"/>
                <w:szCs w:val="20"/>
              </w:rPr>
            </w:pPr>
            <w:r>
              <w:rPr>
                <w:sz w:val="20"/>
                <w:szCs w:val="20"/>
              </w:rPr>
              <w:t>Science: Life Science Education License</w:t>
            </w:r>
          </w:p>
        </w:tc>
        <w:tc>
          <w:tcPr>
            <w:tcW w:w="924" w:type="pct"/>
            <w:shd w:val="clear" w:color="auto" w:fill="D0E0E3"/>
            <w:tcMar>
              <w:top w:w="80" w:type="dxa"/>
              <w:left w:w="80" w:type="dxa"/>
              <w:bottom w:w="80" w:type="dxa"/>
              <w:right w:w="80" w:type="dxa"/>
            </w:tcMar>
          </w:tcPr>
          <w:p w14:paraId="78A8EC1A" w14:textId="72AEDD50" w:rsidR="00CB6BCC" w:rsidRDefault="00CB6BCC" w:rsidP="00CB6BCC">
            <w:pPr>
              <w:spacing w:line="240" w:lineRule="auto"/>
              <w:rPr>
                <w:sz w:val="20"/>
                <w:szCs w:val="20"/>
              </w:rPr>
            </w:pPr>
            <w:r>
              <w:rPr>
                <w:sz w:val="20"/>
                <w:szCs w:val="20"/>
              </w:rPr>
              <w:t>11</w:t>
            </w:r>
          </w:p>
        </w:tc>
        <w:tc>
          <w:tcPr>
            <w:tcW w:w="924" w:type="pct"/>
            <w:shd w:val="clear" w:color="auto" w:fill="D0E0E3"/>
            <w:tcMar>
              <w:top w:w="80" w:type="dxa"/>
              <w:left w:w="80" w:type="dxa"/>
              <w:bottom w:w="80" w:type="dxa"/>
              <w:right w:w="80" w:type="dxa"/>
            </w:tcMar>
          </w:tcPr>
          <w:p w14:paraId="0376ABB1" w14:textId="3A5995A9" w:rsidR="00CB6BCC" w:rsidRPr="00CB6BCC" w:rsidRDefault="00354230" w:rsidP="00CB6BCC">
            <w:pPr>
              <w:spacing w:line="240" w:lineRule="auto"/>
              <w:rPr>
                <w:sz w:val="20"/>
                <w:szCs w:val="20"/>
              </w:rPr>
            </w:pPr>
            <w:r>
              <w:rPr>
                <w:sz w:val="20"/>
                <w:szCs w:val="20"/>
              </w:rPr>
              <w:t>4</w:t>
            </w:r>
          </w:p>
        </w:tc>
      </w:tr>
      <w:tr w:rsidR="00CB6BCC" w14:paraId="310E4CF7"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5E40890F" w14:textId="21154F74" w:rsidR="00CB6BCC" w:rsidRDefault="00CB6BCC" w:rsidP="00CB6BCC">
            <w:pPr>
              <w:spacing w:line="240" w:lineRule="auto"/>
              <w:rPr>
                <w:sz w:val="20"/>
                <w:szCs w:val="20"/>
              </w:rPr>
            </w:pPr>
            <w:r>
              <w:rPr>
                <w:sz w:val="20"/>
                <w:szCs w:val="20"/>
              </w:rPr>
              <w:t>Campus: Bachelor’s</w:t>
            </w:r>
          </w:p>
        </w:tc>
        <w:tc>
          <w:tcPr>
            <w:tcW w:w="1576" w:type="pct"/>
            <w:tcBorders>
              <w:bottom w:val="single" w:sz="4" w:space="0" w:color="000000"/>
            </w:tcBorders>
            <w:shd w:val="clear" w:color="auto" w:fill="D0E0E3"/>
            <w:tcMar>
              <w:top w:w="80" w:type="dxa"/>
              <w:left w:w="80" w:type="dxa"/>
              <w:bottom w:w="80" w:type="dxa"/>
              <w:right w:w="80" w:type="dxa"/>
            </w:tcMar>
          </w:tcPr>
          <w:p w14:paraId="6CD6EDDF" w14:textId="000DEA61" w:rsidR="00CB6BCC" w:rsidRDefault="00CB6BCC" w:rsidP="00CB6BCC">
            <w:pPr>
              <w:spacing w:line="240" w:lineRule="auto"/>
              <w:rPr>
                <w:sz w:val="20"/>
                <w:szCs w:val="20"/>
              </w:rPr>
            </w:pPr>
            <w:r>
              <w:rPr>
                <w:sz w:val="20"/>
                <w:szCs w:val="20"/>
              </w:rPr>
              <w:t>Science: Physics Education License</w:t>
            </w:r>
          </w:p>
        </w:tc>
        <w:tc>
          <w:tcPr>
            <w:tcW w:w="924" w:type="pct"/>
            <w:shd w:val="clear" w:color="auto" w:fill="D0E0E3"/>
            <w:tcMar>
              <w:top w:w="80" w:type="dxa"/>
              <w:left w:w="80" w:type="dxa"/>
              <w:bottom w:w="80" w:type="dxa"/>
              <w:right w:w="80" w:type="dxa"/>
            </w:tcMar>
          </w:tcPr>
          <w:p w14:paraId="0C7073A9" w14:textId="396D4D16" w:rsidR="00CB6BCC" w:rsidRDefault="00CB6BCC" w:rsidP="00CB6BCC">
            <w:pPr>
              <w:spacing w:line="240" w:lineRule="auto"/>
              <w:rPr>
                <w:sz w:val="20"/>
                <w:szCs w:val="20"/>
              </w:rPr>
            </w:pPr>
            <w:r>
              <w:rPr>
                <w:sz w:val="20"/>
                <w:szCs w:val="20"/>
              </w:rPr>
              <w:t>1</w:t>
            </w:r>
          </w:p>
        </w:tc>
        <w:tc>
          <w:tcPr>
            <w:tcW w:w="924" w:type="pct"/>
            <w:shd w:val="clear" w:color="auto" w:fill="D0E0E3"/>
            <w:tcMar>
              <w:top w:w="80" w:type="dxa"/>
              <w:left w:w="80" w:type="dxa"/>
              <w:bottom w:w="80" w:type="dxa"/>
              <w:right w:w="80" w:type="dxa"/>
            </w:tcMar>
          </w:tcPr>
          <w:p w14:paraId="5111C062" w14:textId="148A8783" w:rsidR="00CB6BCC" w:rsidRPr="00CB6BCC" w:rsidRDefault="00354230" w:rsidP="00CB6BCC">
            <w:pPr>
              <w:spacing w:line="240" w:lineRule="auto"/>
              <w:rPr>
                <w:sz w:val="20"/>
                <w:szCs w:val="20"/>
              </w:rPr>
            </w:pPr>
            <w:r>
              <w:rPr>
                <w:sz w:val="20"/>
                <w:szCs w:val="20"/>
              </w:rPr>
              <w:t>0</w:t>
            </w:r>
          </w:p>
        </w:tc>
      </w:tr>
      <w:tr w:rsidR="00CB6BCC" w14:paraId="65F97EBC"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16F3692F" w14:textId="51E96215" w:rsidR="00CB6BCC" w:rsidRDefault="00CB6BCC" w:rsidP="00CB6BCC">
            <w:pPr>
              <w:spacing w:line="240" w:lineRule="auto"/>
              <w:rPr>
                <w:sz w:val="20"/>
                <w:szCs w:val="20"/>
              </w:rPr>
            </w:pPr>
            <w:r>
              <w:rPr>
                <w:sz w:val="20"/>
                <w:szCs w:val="20"/>
              </w:rPr>
              <w:t xml:space="preserve">Campus: Bachelor’s </w:t>
            </w:r>
          </w:p>
        </w:tc>
        <w:tc>
          <w:tcPr>
            <w:tcW w:w="1576" w:type="pct"/>
            <w:tcBorders>
              <w:bottom w:val="single" w:sz="4" w:space="0" w:color="000000"/>
            </w:tcBorders>
            <w:shd w:val="clear" w:color="auto" w:fill="D0E0E3"/>
            <w:tcMar>
              <w:top w:w="80" w:type="dxa"/>
              <w:left w:w="80" w:type="dxa"/>
              <w:bottom w:w="80" w:type="dxa"/>
              <w:right w:w="80" w:type="dxa"/>
            </w:tcMar>
          </w:tcPr>
          <w:p w14:paraId="1316F8C2" w14:textId="17DE563C" w:rsidR="00CB6BCC" w:rsidRDefault="00CB6BCC" w:rsidP="00CB6BCC">
            <w:pPr>
              <w:spacing w:line="240" w:lineRule="auto"/>
              <w:rPr>
                <w:sz w:val="20"/>
                <w:szCs w:val="20"/>
              </w:rPr>
            </w:pPr>
            <w:r>
              <w:rPr>
                <w:sz w:val="20"/>
                <w:szCs w:val="20"/>
              </w:rPr>
              <w:t>Health Education License</w:t>
            </w:r>
          </w:p>
        </w:tc>
        <w:tc>
          <w:tcPr>
            <w:tcW w:w="924" w:type="pct"/>
            <w:shd w:val="clear" w:color="auto" w:fill="D0E0E3"/>
            <w:tcMar>
              <w:top w:w="80" w:type="dxa"/>
              <w:left w:w="80" w:type="dxa"/>
              <w:bottom w:w="80" w:type="dxa"/>
              <w:right w:w="80" w:type="dxa"/>
            </w:tcMar>
          </w:tcPr>
          <w:p w14:paraId="7351E54B" w14:textId="067C779F" w:rsidR="00CB6BCC" w:rsidRDefault="00CB6BCC" w:rsidP="00CB6BCC">
            <w:pPr>
              <w:spacing w:line="240" w:lineRule="auto"/>
              <w:rPr>
                <w:sz w:val="20"/>
                <w:szCs w:val="20"/>
              </w:rPr>
            </w:pPr>
            <w:r>
              <w:rPr>
                <w:sz w:val="20"/>
                <w:szCs w:val="20"/>
              </w:rPr>
              <w:t>22</w:t>
            </w:r>
          </w:p>
        </w:tc>
        <w:tc>
          <w:tcPr>
            <w:tcW w:w="924" w:type="pct"/>
            <w:shd w:val="clear" w:color="auto" w:fill="D0E0E3"/>
            <w:tcMar>
              <w:top w:w="80" w:type="dxa"/>
              <w:left w:w="80" w:type="dxa"/>
              <w:bottom w:w="80" w:type="dxa"/>
              <w:right w:w="80" w:type="dxa"/>
            </w:tcMar>
          </w:tcPr>
          <w:p w14:paraId="27D65EA4" w14:textId="19CF3D14" w:rsidR="00CB6BCC" w:rsidRPr="00CB6BCC" w:rsidRDefault="00354230" w:rsidP="00CB6BCC">
            <w:pPr>
              <w:spacing w:line="240" w:lineRule="auto"/>
              <w:rPr>
                <w:sz w:val="20"/>
                <w:szCs w:val="20"/>
              </w:rPr>
            </w:pPr>
            <w:r>
              <w:rPr>
                <w:sz w:val="20"/>
                <w:szCs w:val="20"/>
              </w:rPr>
              <w:t>7</w:t>
            </w:r>
          </w:p>
        </w:tc>
      </w:tr>
      <w:tr w:rsidR="00CB6BCC" w14:paraId="58D2C038"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586F2569" w14:textId="3E03817C" w:rsidR="00CB6BCC" w:rsidRDefault="00CB6BCC" w:rsidP="00CB6BCC">
            <w:pPr>
              <w:spacing w:line="240" w:lineRule="auto"/>
              <w:rPr>
                <w:sz w:val="20"/>
                <w:szCs w:val="20"/>
              </w:rPr>
            </w:pPr>
            <w:r>
              <w:rPr>
                <w:sz w:val="20"/>
                <w:szCs w:val="20"/>
              </w:rPr>
              <w:t xml:space="preserve">Campus: Bachelor’s </w:t>
            </w:r>
          </w:p>
        </w:tc>
        <w:tc>
          <w:tcPr>
            <w:tcW w:w="1576" w:type="pct"/>
            <w:tcBorders>
              <w:bottom w:val="single" w:sz="4" w:space="0" w:color="000000"/>
            </w:tcBorders>
            <w:shd w:val="clear" w:color="auto" w:fill="D0E0E3"/>
            <w:tcMar>
              <w:top w:w="80" w:type="dxa"/>
              <w:left w:w="80" w:type="dxa"/>
              <w:bottom w:w="80" w:type="dxa"/>
              <w:right w:w="80" w:type="dxa"/>
            </w:tcMar>
          </w:tcPr>
          <w:p w14:paraId="3AFB1F43" w14:textId="333AC026" w:rsidR="00CB6BCC" w:rsidRDefault="00CB6BCC" w:rsidP="00CB6BCC">
            <w:pPr>
              <w:spacing w:line="240" w:lineRule="auto"/>
              <w:rPr>
                <w:sz w:val="20"/>
                <w:szCs w:val="20"/>
              </w:rPr>
            </w:pPr>
            <w:r>
              <w:rPr>
                <w:sz w:val="20"/>
                <w:szCs w:val="20"/>
              </w:rPr>
              <w:t>Physical Education License</w:t>
            </w:r>
          </w:p>
        </w:tc>
        <w:tc>
          <w:tcPr>
            <w:tcW w:w="924" w:type="pct"/>
            <w:shd w:val="clear" w:color="auto" w:fill="D0E0E3"/>
            <w:tcMar>
              <w:top w:w="80" w:type="dxa"/>
              <w:left w:w="80" w:type="dxa"/>
              <w:bottom w:w="80" w:type="dxa"/>
              <w:right w:w="80" w:type="dxa"/>
            </w:tcMar>
          </w:tcPr>
          <w:p w14:paraId="4EEB1951" w14:textId="2A215701" w:rsidR="00CB6BCC" w:rsidRDefault="00CB6BCC" w:rsidP="00CB6BCC">
            <w:pPr>
              <w:spacing w:line="240" w:lineRule="auto"/>
              <w:rPr>
                <w:sz w:val="20"/>
                <w:szCs w:val="20"/>
              </w:rPr>
            </w:pPr>
            <w:r>
              <w:rPr>
                <w:sz w:val="20"/>
                <w:szCs w:val="20"/>
              </w:rPr>
              <w:t>29</w:t>
            </w:r>
          </w:p>
        </w:tc>
        <w:tc>
          <w:tcPr>
            <w:tcW w:w="924" w:type="pct"/>
            <w:shd w:val="clear" w:color="auto" w:fill="D0E0E3"/>
            <w:tcMar>
              <w:top w:w="80" w:type="dxa"/>
              <w:left w:w="80" w:type="dxa"/>
              <w:bottom w:w="80" w:type="dxa"/>
              <w:right w:w="80" w:type="dxa"/>
            </w:tcMar>
          </w:tcPr>
          <w:p w14:paraId="2C37194F" w14:textId="3E66E316" w:rsidR="00CB6BCC" w:rsidRPr="00CB6BCC" w:rsidRDefault="00354230" w:rsidP="00CB6BCC">
            <w:pPr>
              <w:spacing w:line="240" w:lineRule="auto"/>
              <w:rPr>
                <w:sz w:val="20"/>
                <w:szCs w:val="20"/>
              </w:rPr>
            </w:pPr>
            <w:r>
              <w:rPr>
                <w:sz w:val="20"/>
                <w:szCs w:val="20"/>
              </w:rPr>
              <w:t>8</w:t>
            </w:r>
          </w:p>
        </w:tc>
      </w:tr>
      <w:tr w:rsidR="00CB6BCC" w14:paraId="4CAC19B8"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1ED877E6" w14:textId="3A8C56DB" w:rsidR="00CB6BCC" w:rsidRDefault="00CB6BCC" w:rsidP="00CB6BCC">
            <w:pPr>
              <w:spacing w:line="240" w:lineRule="auto"/>
              <w:rPr>
                <w:sz w:val="20"/>
                <w:szCs w:val="20"/>
              </w:rPr>
            </w:pPr>
            <w:proofErr w:type="spellStart"/>
            <w:r>
              <w:rPr>
                <w:sz w:val="20"/>
                <w:szCs w:val="20"/>
              </w:rPr>
              <w:t>DLiTE</w:t>
            </w:r>
            <w:proofErr w:type="spellEnd"/>
            <w:r>
              <w:rPr>
                <w:sz w:val="20"/>
                <w:szCs w:val="20"/>
              </w:rPr>
              <w:t>: Bachelor’s</w:t>
            </w:r>
          </w:p>
        </w:tc>
        <w:tc>
          <w:tcPr>
            <w:tcW w:w="1576" w:type="pct"/>
            <w:tcBorders>
              <w:bottom w:val="single" w:sz="4" w:space="0" w:color="000000"/>
            </w:tcBorders>
            <w:shd w:val="clear" w:color="auto" w:fill="D0E0E3"/>
            <w:tcMar>
              <w:top w:w="80" w:type="dxa"/>
              <w:left w:w="80" w:type="dxa"/>
              <w:bottom w:w="80" w:type="dxa"/>
              <w:right w:w="80" w:type="dxa"/>
            </w:tcMar>
          </w:tcPr>
          <w:p w14:paraId="717C83A0" w14:textId="26FFFD1A" w:rsidR="00CB6BCC" w:rsidRDefault="00714EBA" w:rsidP="00CB6BCC">
            <w:pPr>
              <w:spacing w:line="240" w:lineRule="auto"/>
              <w:rPr>
                <w:sz w:val="20"/>
                <w:szCs w:val="20"/>
              </w:rPr>
            </w:pPr>
            <w:r>
              <w:rPr>
                <w:sz w:val="20"/>
                <w:szCs w:val="20"/>
              </w:rPr>
              <w:t>Elementary Education License</w:t>
            </w:r>
          </w:p>
        </w:tc>
        <w:tc>
          <w:tcPr>
            <w:tcW w:w="924" w:type="pct"/>
            <w:shd w:val="clear" w:color="auto" w:fill="D0E0E3"/>
            <w:tcMar>
              <w:top w:w="80" w:type="dxa"/>
              <w:left w:w="80" w:type="dxa"/>
              <w:bottom w:w="80" w:type="dxa"/>
              <w:right w:w="80" w:type="dxa"/>
            </w:tcMar>
          </w:tcPr>
          <w:p w14:paraId="50D27F7E" w14:textId="03806E0E" w:rsidR="00CB6BCC" w:rsidRDefault="00714EBA" w:rsidP="00CB6BCC">
            <w:pPr>
              <w:spacing w:line="240" w:lineRule="auto"/>
              <w:rPr>
                <w:sz w:val="20"/>
                <w:szCs w:val="20"/>
              </w:rPr>
            </w:pPr>
            <w:r>
              <w:rPr>
                <w:sz w:val="20"/>
                <w:szCs w:val="20"/>
              </w:rPr>
              <w:t>127</w:t>
            </w:r>
          </w:p>
        </w:tc>
        <w:tc>
          <w:tcPr>
            <w:tcW w:w="924" w:type="pct"/>
            <w:shd w:val="clear" w:color="auto" w:fill="D0E0E3"/>
            <w:tcMar>
              <w:top w:w="80" w:type="dxa"/>
              <w:left w:w="80" w:type="dxa"/>
              <w:bottom w:w="80" w:type="dxa"/>
              <w:right w:w="80" w:type="dxa"/>
            </w:tcMar>
          </w:tcPr>
          <w:p w14:paraId="3671F40B" w14:textId="2488E457" w:rsidR="00CB6BCC" w:rsidRPr="00CB6BCC" w:rsidRDefault="00354230" w:rsidP="00CB6BCC">
            <w:pPr>
              <w:spacing w:line="240" w:lineRule="auto"/>
              <w:rPr>
                <w:sz w:val="20"/>
                <w:szCs w:val="20"/>
              </w:rPr>
            </w:pPr>
            <w:r>
              <w:rPr>
                <w:sz w:val="20"/>
                <w:szCs w:val="20"/>
              </w:rPr>
              <w:t>44</w:t>
            </w:r>
          </w:p>
        </w:tc>
      </w:tr>
      <w:tr w:rsidR="00714EBA" w14:paraId="1B0A4627"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786B7332" w14:textId="61C74A12" w:rsidR="00714EBA" w:rsidRDefault="00714EBA" w:rsidP="00714EBA">
            <w:pPr>
              <w:spacing w:line="240" w:lineRule="auto"/>
              <w:rPr>
                <w:sz w:val="20"/>
                <w:szCs w:val="20"/>
              </w:rPr>
            </w:pPr>
            <w:proofErr w:type="spellStart"/>
            <w:r>
              <w:rPr>
                <w:sz w:val="20"/>
                <w:szCs w:val="20"/>
              </w:rPr>
              <w:t>DLiTE</w:t>
            </w:r>
            <w:proofErr w:type="spellEnd"/>
            <w:r>
              <w:rPr>
                <w:sz w:val="20"/>
                <w:szCs w:val="20"/>
              </w:rPr>
              <w:t>: Bachelor’s</w:t>
            </w:r>
          </w:p>
        </w:tc>
        <w:tc>
          <w:tcPr>
            <w:tcW w:w="1576" w:type="pct"/>
            <w:tcBorders>
              <w:bottom w:val="single" w:sz="4" w:space="0" w:color="000000"/>
            </w:tcBorders>
            <w:shd w:val="clear" w:color="auto" w:fill="D0E0E3"/>
            <w:tcMar>
              <w:top w:w="80" w:type="dxa"/>
              <w:left w:w="80" w:type="dxa"/>
              <w:bottom w:w="80" w:type="dxa"/>
              <w:right w:w="80" w:type="dxa"/>
            </w:tcMar>
          </w:tcPr>
          <w:p w14:paraId="09E2F10A" w14:textId="77777777" w:rsidR="00714EBA" w:rsidRPr="00CB6BCC" w:rsidRDefault="00714EBA" w:rsidP="00714EBA">
            <w:pPr>
              <w:spacing w:line="240" w:lineRule="auto"/>
              <w:rPr>
                <w:sz w:val="20"/>
                <w:szCs w:val="20"/>
              </w:rPr>
            </w:pPr>
            <w:r w:rsidRPr="00CB6BCC">
              <w:rPr>
                <w:sz w:val="20"/>
                <w:szCs w:val="20"/>
              </w:rPr>
              <w:t>Elementary Education:</w:t>
            </w:r>
          </w:p>
          <w:p w14:paraId="4D2F35C8" w14:textId="6245C653" w:rsidR="00714EBA" w:rsidRDefault="00714EBA" w:rsidP="00714EBA">
            <w:pPr>
              <w:spacing w:line="240" w:lineRule="auto"/>
              <w:rPr>
                <w:sz w:val="20"/>
                <w:szCs w:val="20"/>
              </w:rPr>
            </w:pPr>
            <w:r w:rsidRPr="00CB6BCC">
              <w:rPr>
                <w:sz w:val="20"/>
                <w:szCs w:val="20"/>
              </w:rPr>
              <w:t>Middle Level English Endorsement</w:t>
            </w:r>
          </w:p>
        </w:tc>
        <w:tc>
          <w:tcPr>
            <w:tcW w:w="924" w:type="pct"/>
            <w:shd w:val="clear" w:color="auto" w:fill="D0E0E3"/>
            <w:tcMar>
              <w:top w:w="80" w:type="dxa"/>
              <w:left w:w="80" w:type="dxa"/>
              <w:bottom w:w="80" w:type="dxa"/>
              <w:right w:w="80" w:type="dxa"/>
            </w:tcMar>
          </w:tcPr>
          <w:p w14:paraId="272F13CC" w14:textId="3B9B316E" w:rsidR="00714EBA" w:rsidRDefault="00714EBA" w:rsidP="00714EBA">
            <w:pPr>
              <w:spacing w:line="240" w:lineRule="auto"/>
              <w:rPr>
                <w:sz w:val="20"/>
                <w:szCs w:val="20"/>
              </w:rPr>
            </w:pPr>
            <w:r>
              <w:rPr>
                <w:sz w:val="20"/>
                <w:szCs w:val="20"/>
              </w:rPr>
              <w:t>12</w:t>
            </w:r>
          </w:p>
        </w:tc>
        <w:tc>
          <w:tcPr>
            <w:tcW w:w="924" w:type="pct"/>
            <w:shd w:val="clear" w:color="auto" w:fill="D0E0E3"/>
            <w:tcMar>
              <w:top w:w="80" w:type="dxa"/>
              <w:left w:w="80" w:type="dxa"/>
              <w:bottom w:w="80" w:type="dxa"/>
              <w:right w:w="80" w:type="dxa"/>
            </w:tcMar>
          </w:tcPr>
          <w:p w14:paraId="5417404A" w14:textId="32ACAA2F" w:rsidR="00714EBA" w:rsidRPr="00CB6BCC" w:rsidRDefault="00354230" w:rsidP="00714EBA">
            <w:pPr>
              <w:spacing w:line="240" w:lineRule="auto"/>
              <w:rPr>
                <w:sz w:val="20"/>
                <w:szCs w:val="20"/>
              </w:rPr>
            </w:pPr>
            <w:r>
              <w:rPr>
                <w:sz w:val="20"/>
                <w:szCs w:val="20"/>
              </w:rPr>
              <w:t>2</w:t>
            </w:r>
          </w:p>
        </w:tc>
      </w:tr>
      <w:tr w:rsidR="00714EBA" w14:paraId="1077BF34"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19F44787" w14:textId="161CC4FD" w:rsidR="00714EBA" w:rsidRDefault="00714EBA" w:rsidP="00714EBA">
            <w:pPr>
              <w:spacing w:line="240" w:lineRule="auto"/>
              <w:rPr>
                <w:sz w:val="20"/>
                <w:szCs w:val="20"/>
              </w:rPr>
            </w:pPr>
            <w:proofErr w:type="spellStart"/>
            <w:r w:rsidRPr="002D5E9E">
              <w:rPr>
                <w:sz w:val="20"/>
                <w:szCs w:val="20"/>
              </w:rPr>
              <w:t>DLiTE</w:t>
            </w:r>
            <w:proofErr w:type="spellEnd"/>
            <w:r w:rsidRPr="002D5E9E">
              <w:rPr>
                <w:sz w:val="20"/>
                <w:szCs w:val="20"/>
              </w:rPr>
              <w:t>: Bachelor’s</w:t>
            </w:r>
          </w:p>
        </w:tc>
        <w:tc>
          <w:tcPr>
            <w:tcW w:w="1576" w:type="pct"/>
            <w:tcBorders>
              <w:bottom w:val="single" w:sz="4" w:space="0" w:color="000000"/>
            </w:tcBorders>
            <w:shd w:val="clear" w:color="auto" w:fill="D0E0E3"/>
            <w:tcMar>
              <w:top w:w="80" w:type="dxa"/>
              <w:left w:w="80" w:type="dxa"/>
              <w:bottom w:w="80" w:type="dxa"/>
              <w:right w:w="80" w:type="dxa"/>
            </w:tcMar>
          </w:tcPr>
          <w:p w14:paraId="29D6591D" w14:textId="77777777" w:rsidR="00714EBA" w:rsidRDefault="00714EBA" w:rsidP="00714EBA">
            <w:pPr>
              <w:spacing w:line="240" w:lineRule="auto"/>
              <w:rPr>
                <w:sz w:val="20"/>
                <w:szCs w:val="20"/>
              </w:rPr>
            </w:pPr>
            <w:r w:rsidRPr="00CB6BCC">
              <w:rPr>
                <w:sz w:val="20"/>
                <w:szCs w:val="20"/>
              </w:rPr>
              <w:t xml:space="preserve">Elementary Education: </w:t>
            </w:r>
          </w:p>
          <w:p w14:paraId="4B68C9C7" w14:textId="1F2563C9" w:rsidR="00714EBA" w:rsidRDefault="00714EBA" w:rsidP="00714EBA">
            <w:pPr>
              <w:spacing w:line="240" w:lineRule="auto"/>
              <w:rPr>
                <w:sz w:val="20"/>
                <w:szCs w:val="20"/>
              </w:rPr>
            </w:pPr>
            <w:r>
              <w:rPr>
                <w:sz w:val="20"/>
                <w:szCs w:val="20"/>
              </w:rPr>
              <w:t>Middle Level Math Endorsement</w:t>
            </w:r>
          </w:p>
        </w:tc>
        <w:tc>
          <w:tcPr>
            <w:tcW w:w="924" w:type="pct"/>
            <w:shd w:val="clear" w:color="auto" w:fill="D0E0E3"/>
            <w:tcMar>
              <w:top w:w="80" w:type="dxa"/>
              <w:left w:w="80" w:type="dxa"/>
              <w:bottom w:w="80" w:type="dxa"/>
              <w:right w:w="80" w:type="dxa"/>
            </w:tcMar>
          </w:tcPr>
          <w:p w14:paraId="0E11B8EE" w14:textId="4BC40E6B" w:rsidR="00714EBA" w:rsidRDefault="00714EBA" w:rsidP="00714EBA">
            <w:pPr>
              <w:spacing w:line="240" w:lineRule="auto"/>
              <w:rPr>
                <w:sz w:val="20"/>
                <w:szCs w:val="20"/>
              </w:rPr>
            </w:pPr>
            <w:r>
              <w:rPr>
                <w:sz w:val="20"/>
                <w:szCs w:val="20"/>
              </w:rPr>
              <w:t>9</w:t>
            </w:r>
          </w:p>
        </w:tc>
        <w:tc>
          <w:tcPr>
            <w:tcW w:w="924" w:type="pct"/>
            <w:shd w:val="clear" w:color="auto" w:fill="D0E0E3"/>
            <w:tcMar>
              <w:top w:w="80" w:type="dxa"/>
              <w:left w:w="80" w:type="dxa"/>
              <w:bottom w:w="80" w:type="dxa"/>
              <w:right w:w="80" w:type="dxa"/>
            </w:tcMar>
          </w:tcPr>
          <w:p w14:paraId="58F02993" w14:textId="250998FB" w:rsidR="00714EBA" w:rsidRPr="00CB6BCC" w:rsidRDefault="00354230" w:rsidP="00714EBA">
            <w:pPr>
              <w:spacing w:line="240" w:lineRule="auto"/>
              <w:rPr>
                <w:sz w:val="20"/>
                <w:szCs w:val="20"/>
              </w:rPr>
            </w:pPr>
            <w:r>
              <w:rPr>
                <w:sz w:val="20"/>
                <w:szCs w:val="20"/>
              </w:rPr>
              <w:t>1</w:t>
            </w:r>
          </w:p>
        </w:tc>
      </w:tr>
      <w:tr w:rsidR="00714EBA" w14:paraId="48CD3CB0"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0A93226F" w14:textId="68BDC8C4" w:rsidR="00714EBA" w:rsidRDefault="00714EBA" w:rsidP="00714EBA">
            <w:pPr>
              <w:spacing w:line="240" w:lineRule="auto"/>
              <w:rPr>
                <w:sz w:val="20"/>
                <w:szCs w:val="20"/>
              </w:rPr>
            </w:pPr>
            <w:proofErr w:type="spellStart"/>
            <w:r w:rsidRPr="002D5E9E">
              <w:rPr>
                <w:sz w:val="20"/>
                <w:szCs w:val="20"/>
              </w:rPr>
              <w:t>DLiTE</w:t>
            </w:r>
            <w:proofErr w:type="spellEnd"/>
            <w:r w:rsidRPr="002D5E9E">
              <w:rPr>
                <w:sz w:val="20"/>
                <w:szCs w:val="20"/>
              </w:rPr>
              <w:t>: Bachelor’s</w:t>
            </w:r>
          </w:p>
        </w:tc>
        <w:tc>
          <w:tcPr>
            <w:tcW w:w="1576" w:type="pct"/>
            <w:tcBorders>
              <w:bottom w:val="single" w:sz="4" w:space="0" w:color="000000"/>
            </w:tcBorders>
            <w:shd w:val="clear" w:color="auto" w:fill="D0E0E3"/>
            <w:tcMar>
              <w:top w:w="80" w:type="dxa"/>
              <w:left w:w="80" w:type="dxa"/>
              <w:bottom w:w="80" w:type="dxa"/>
              <w:right w:w="80" w:type="dxa"/>
            </w:tcMar>
          </w:tcPr>
          <w:p w14:paraId="7871DCF9" w14:textId="77777777" w:rsidR="00714EBA" w:rsidRDefault="00714EBA" w:rsidP="00714EBA">
            <w:pPr>
              <w:spacing w:line="240" w:lineRule="auto"/>
              <w:rPr>
                <w:sz w:val="20"/>
                <w:szCs w:val="20"/>
              </w:rPr>
            </w:pPr>
            <w:r>
              <w:rPr>
                <w:sz w:val="20"/>
                <w:szCs w:val="20"/>
              </w:rPr>
              <w:t xml:space="preserve">Elementary Education: </w:t>
            </w:r>
          </w:p>
          <w:p w14:paraId="499CA1CA" w14:textId="43373D2F" w:rsidR="00714EBA" w:rsidRDefault="00714EBA" w:rsidP="00714EBA">
            <w:pPr>
              <w:spacing w:line="240" w:lineRule="auto"/>
              <w:rPr>
                <w:sz w:val="20"/>
                <w:szCs w:val="20"/>
              </w:rPr>
            </w:pPr>
            <w:r>
              <w:rPr>
                <w:sz w:val="20"/>
                <w:szCs w:val="20"/>
              </w:rPr>
              <w:t>Middle Level Science Endorsement</w:t>
            </w:r>
          </w:p>
        </w:tc>
        <w:tc>
          <w:tcPr>
            <w:tcW w:w="924" w:type="pct"/>
            <w:shd w:val="clear" w:color="auto" w:fill="D0E0E3"/>
            <w:tcMar>
              <w:top w:w="80" w:type="dxa"/>
              <w:left w:w="80" w:type="dxa"/>
              <w:bottom w:w="80" w:type="dxa"/>
              <w:right w:w="80" w:type="dxa"/>
            </w:tcMar>
          </w:tcPr>
          <w:p w14:paraId="18F79555" w14:textId="3B6A0752" w:rsidR="00714EBA" w:rsidRDefault="00714EBA" w:rsidP="00714EBA">
            <w:pPr>
              <w:spacing w:line="240" w:lineRule="auto"/>
              <w:rPr>
                <w:sz w:val="20"/>
                <w:szCs w:val="20"/>
              </w:rPr>
            </w:pPr>
            <w:r>
              <w:rPr>
                <w:sz w:val="20"/>
                <w:szCs w:val="20"/>
              </w:rPr>
              <w:t>6</w:t>
            </w:r>
          </w:p>
        </w:tc>
        <w:tc>
          <w:tcPr>
            <w:tcW w:w="924" w:type="pct"/>
            <w:shd w:val="clear" w:color="auto" w:fill="D0E0E3"/>
            <w:tcMar>
              <w:top w:w="80" w:type="dxa"/>
              <w:left w:w="80" w:type="dxa"/>
              <w:bottom w:w="80" w:type="dxa"/>
              <w:right w:w="80" w:type="dxa"/>
            </w:tcMar>
          </w:tcPr>
          <w:p w14:paraId="6D289446" w14:textId="217D59EC" w:rsidR="00714EBA" w:rsidRPr="00CB6BCC" w:rsidRDefault="00354230" w:rsidP="00714EBA">
            <w:pPr>
              <w:spacing w:line="240" w:lineRule="auto"/>
              <w:rPr>
                <w:sz w:val="20"/>
                <w:szCs w:val="20"/>
              </w:rPr>
            </w:pPr>
            <w:r>
              <w:rPr>
                <w:sz w:val="20"/>
                <w:szCs w:val="20"/>
              </w:rPr>
              <w:t>0</w:t>
            </w:r>
          </w:p>
        </w:tc>
      </w:tr>
      <w:tr w:rsidR="00714EBA" w14:paraId="28F71DFB"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344A1C16" w14:textId="70B59848" w:rsidR="00714EBA" w:rsidRPr="002D5E9E" w:rsidRDefault="00714EBA" w:rsidP="00714EBA">
            <w:pPr>
              <w:spacing w:line="240" w:lineRule="auto"/>
              <w:rPr>
                <w:sz w:val="20"/>
                <w:szCs w:val="20"/>
              </w:rPr>
            </w:pPr>
            <w:proofErr w:type="spellStart"/>
            <w:r w:rsidRPr="00017B3F">
              <w:rPr>
                <w:sz w:val="20"/>
                <w:szCs w:val="20"/>
              </w:rPr>
              <w:t>DLiTE</w:t>
            </w:r>
            <w:proofErr w:type="spellEnd"/>
            <w:r w:rsidRPr="00017B3F">
              <w:rPr>
                <w:sz w:val="20"/>
                <w:szCs w:val="20"/>
              </w:rPr>
              <w:t>: Bachelor’s</w:t>
            </w:r>
          </w:p>
        </w:tc>
        <w:tc>
          <w:tcPr>
            <w:tcW w:w="1576" w:type="pct"/>
            <w:tcBorders>
              <w:bottom w:val="single" w:sz="4" w:space="0" w:color="000000"/>
            </w:tcBorders>
            <w:shd w:val="clear" w:color="auto" w:fill="D0E0E3"/>
            <w:tcMar>
              <w:top w:w="80" w:type="dxa"/>
              <w:left w:w="80" w:type="dxa"/>
              <w:bottom w:w="80" w:type="dxa"/>
              <w:right w:w="80" w:type="dxa"/>
            </w:tcMar>
          </w:tcPr>
          <w:p w14:paraId="39331050" w14:textId="77777777" w:rsidR="00714EBA" w:rsidRDefault="00714EBA" w:rsidP="00714EBA">
            <w:pPr>
              <w:spacing w:line="240" w:lineRule="auto"/>
              <w:rPr>
                <w:sz w:val="20"/>
                <w:szCs w:val="20"/>
              </w:rPr>
            </w:pPr>
            <w:r>
              <w:rPr>
                <w:sz w:val="20"/>
                <w:szCs w:val="20"/>
              </w:rPr>
              <w:t xml:space="preserve">Elementary Education: </w:t>
            </w:r>
          </w:p>
          <w:p w14:paraId="1A243A9B" w14:textId="7705978A" w:rsidR="00714EBA" w:rsidRDefault="00714EBA" w:rsidP="00714EBA">
            <w:pPr>
              <w:spacing w:line="240" w:lineRule="auto"/>
              <w:rPr>
                <w:sz w:val="20"/>
                <w:szCs w:val="20"/>
              </w:rPr>
            </w:pPr>
            <w:r>
              <w:rPr>
                <w:sz w:val="20"/>
                <w:szCs w:val="20"/>
              </w:rPr>
              <w:t>Middle Level Social Studies Endorsement</w:t>
            </w:r>
          </w:p>
        </w:tc>
        <w:tc>
          <w:tcPr>
            <w:tcW w:w="924" w:type="pct"/>
            <w:shd w:val="clear" w:color="auto" w:fill="D0E0E3"/>
            <w:tcMar>
              <w:top w:w="80" w:type="dxa"/>
              <w:left w:w="80" w:type="dxa"/>
              <w:bottom w:w="80" w:type="dxa"/>
              <w:right w:w="80" w:type="dxa"/>
            </w:tcMar>
          </w:tcPr>
          <w:p w14:paraId="7AE91223" w14:textId="6DA7B691" w:rsidR="00714EBA" w:rsidRDefault="00714EBA" w:rsidP="00714EBA">
            <w:pPr>
              <w:spacing w:line="240" w:lineRule="auto"/>
              <w:rPr>
                <w:sz w:val="20"/>
                <w:szCs w:val="20"/>
              </w:rPr>
            </w:pPr>
            <w:r>
              <w:rPr>
                <w:sz w:val="20"/>
                <w:szCs w:val="20"/>
              </w:rPr>
              <w:t>9</w:t>
            </w:r>
          </w:p>
        </w:tc>
        <w:tc>
          <w:tcPr>
            <w:tcW w:w="924" w:type="pct"/>
            <w:shd w:val="clear" w:color="auto" w:fill="D0E0E3"/>
            <w:tcMar>
              <w:top w:w="80" w:type="dxa"/>
              <w:left w:w="80" w:type="dxa"/>
              <w:bottom w:w="80" w:type="dxa"/>
              <w:right w:w="80" w:type="dxa"/>
            </w:tcMar>
          </w:tcPr>
          <w:p w14:paraId="5A69D401" w14:textId="60EF8873" w:rsidR="00714EBA" w:rsidRPr="00CB6BCC" w:rsidRDefault="00354230" w:rsidP="00714EBA">
            <w:pPr>
              <w:spacing w:line="240" w:lineRule="auto"/>
              <w:rPr>
                <w:sz w:val="20"/>
                <w:szCs w:val="20"/>
              </w:rPr>
            </w:pPr>
            <w:r>
              <w:rPr>
                <w:sz w:val="20"/>
                <w:szCs w:val="20"/>
              </w:rPr>
              <w:t>0</w:t>
            </w:r>
          </w:p>
        </w:tc>
      </w:tr>
      <w:tr w:rsidR="00714EBA" w14:paraId="26F6E315"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28A9985B" w14:textId="019FEEF5" w:rsidR="00714EBA" w:rsidRPr="002D5E9E" w:rsidRDefault="00714EBA" w:rsidP="00714EBA">
            <w:pPr>
              <w:spacing w:line="240" w:lineRule="auto"/>
              <w:rPr>
                <w:sz w:val="20"/>
                <w:szCs w:val="20"/>
              </w:rPr>
            </w:pPr>
            <w:proofErr w:type="spellStart"/>
            <w:r w:rsidRPr="00017B3F">
              <w:rPr>
                <w:sz w:val="20"/>
                <w:szCs w:val="20"/>
              </w:rPr>
              <w:t>DLiTE</w:t>
            </w:r>
            <w:proofErr w:type="spellEnd"/>
            <w:r w:rsidRPr="00017B3F">
              <w:rPr>
                <w:sz w:val="20"/>
                <w:szCs w:val="20"/>
              </w:rPr>
              <w:t>: Bachelor’s</w:t>
            </w:r>
          </w:p>
        </w:tc>
        <w:tc>
          <w:tcPr>
            <w:tcW w:w="1576" w:type="pct"/>
            <w:tcBorders>
              <w:bottom w:val="single" w:sz="4" w:space="0" w:color="000000"/>
            </w:tcBorders>
            <w:shd w:val="clear" w:color="auto" w:fill="D0E0E3"/>
            <w:tcMar>
              <w:top w:w="80" w:type="dxa"/>
              <w:left w:w="80" w:type="dxa"/>
              <w:bottom w:w="80" w:type="dxa"/>
              <w:right w:w="80" w:type="dxa"/>
            </w:tcMar>
          </w:tcPr>
          <w:p w14:paraId="2C93781A" w14:textId="77777777" w:rsidR="00714EBA" w:rsidRDefault="00714EBA" w:rsidP="00714EBA">
            <w:pPr>
              <w:spacing w:line="240" w:lineRule="auto"/>
              <w:rPr>
                <w:sz w:val="20"/>
                <w:szCs w:val="20"/>
              </w:rPr>
            </w:pPr>
            <w:r>
              <w:rPr>
                <w:sz w:val="20"/>
                <w:szCs w:val="20"/>
              </w:rPr>
              <w:t xml:space="preserve">Elementary Education: </w:t>
            </w:r>
          </w:p>
          <w:p w14:paraId="0D46B487" w14:textId="6FB7E68A" w:rsidR="00714EBA" w:rsidRDefault="00BF7101" w:rsidP="00714EBA">
            <w:pPr>
              <w:spacing w:line="240" w:lineRule="auto"/>
              <w:rPr>
                <w:sz w:val="20"/>
                <w:szCs w:val="20"/>
              </w:rPr>
            </w:pPr>
            <w:r>
              <w:rPr>
                <w:sz w:val="20"/>
                <w:szCs w:val="20"/>
              </w:rPr>
              <w:t>Preprimary</w:t>
            </w:r>
            <w:r w:rsidR="00714EBA">
              <w:rPr>
                <w:sz w:val="20"/>
                <w:szCs w:val="20"/>
              </w:rPr>
              <w:t xml:space="preserve"> Endorsement</w:t>
            </w:r>
          </w:p>
        </w:tc>
        <w:tc>
          <w:tcPr>
            <w:tcW w:w="924" w:type="pct"/>
            <w:shd w:val="clear" w:color="auto" w:fill="D0E0E3"/>
            <w:tcMar>
              <w:top w:w="80" w:type="dxa"/>
              <w:left w:w="80" w:type="dxa"/>
              <w:bottom w:w="80" w:type="dxa"/>
              <w:right w:w="80" w:type="dxa"/>
            </w:tcMar>
          </w:tcPr>
          <w:p w14:paraId="6C884DDF" w14:textId="51CD4D02" w:rsidR="00714EBA" w:rsidRDefault="00BF7101" w:rsidP="00714EBA">
            <w:pPr>
              <w:spacing w:line="240" w:lineRule="auto"/>
              <w:rPr>
                <w:sz w:val="20"/>
                <w:szCs w:val="20"/>
              </w:rPr>
            </w:pPr>
            <w:r>
              <w:rPr>
                <w:sz w:val="20"/>
                <w:szCs w:val="20"/>
              </w:rPr>
              <w:t>20</w:t>
            </w:r>
          </w:p>
        </w:tc>
        <w:tc>
          <w:tcPr>
            <w:tcW w:w="924" w:type="pct"/>
            <w:shd w:val="clear" w:color="auto" w:fill="D0E0E3"/>
            <w:tcMar>
              <w:top w:w="80" w:type="dxa"/>
              <w:left w:w="80" w:type="dxa"/>
              <w:bottom w:w="80" w:type="dxa"/>
              <w:right w:w="80" w:type="dxa"/>
            </w:tcMar>
          </w:tcPr>
          <w:p w14:paraId="44205202" w14:textId="7C3E88BB" w:rsidR="00714EBA" w:rsidRPr="00CB6BCC" w:rsidRDefault="00354230" w:rsidP="00714EBA">
            <w:pPr>
              <w:spacing w:line="240" w:lineRule="auto"/>
              <w:rPr>
                <w:sz w:val="20"/>
                <w:szCs w:val="20"/>
              </w:rPr>
            </w:pPr>
            <w:r>
              <w:rPr>
                <w:sz w:val="20"/>
                <w:szCs w:val="20"/>
              </w:rPr>
              <w:t>1</w:t>
            </w:r>
          </w:p>
        </w:tc>
      </w:tr>
      <w:tr w:rsidR="00714EBA" w14:paraId="1C181C6F"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50BE8DFB" w14:textId="245821C8" w:rsidR="00714EBA" w:rsidRPr="00017B3F" w:rsidRDefault="00714EBA" w:rsidP="00714EBA">
            <w:pPr>
              <w:spacing w:line="240" w:lineRule="auto"/>
              <w:rPr>
                <w:sz w:val="20"/>
                <w:szCs w:val="20"/>
              </w:rPr>
            </w:pPr>
            <w:proofErr w:type="spellStart"/>
            <w:r>
              <w:rPr>
                <w:sz w:val="20"/>
                <w:szCs w:val="20"/>
              </w:rPr>
              <w:t>FasTrack</w:t>
            </w:r>
            <w:proofErr w:type="spellEnd"/>
            <w:r>
              <w:rPr>
                <w:sz w:val="20"/>
                <w:szCs w:val="20"/>
              </w:rPr>
              <w:t>: P</w:t>
            </w:r>
            <w:r w:rsidRPr="005607CB">
              <w:rPr>
                <w:sz w:val="20"/>
                <w:szCs w:val="20"/>
              </w:rPr>
              <w:t>ost-</w:t>
            </w:r>
            <w:r>
              <w:rPr>
                <w:sz w:val="20"/>
                <w:szCs w:val="20"/>
              </w:rPr>
              <w:t>B</w:t>
            </w:r>
            <w:r w:rsidRPr="005607CB">
              <w:rPr>
                <w:sz w:val="20"/>
                <w:szCs w:val="20"/>
              </w:rPr>
              <w:t>accalaureate</w:t>
            </w:r>
          </w:p>
        </w:tc>
        <w:tc>
          <w:tcPr>
            <w:tcW w:w="1576" w:type="pct"/>
            <w:tcBorders>
              <w:bottom w:val="single" w:sz="4" w:space="0" w:color="000000"/>
            </w:tcBorders>
            <w:shd w:val="clear" w:color="auto" w:fill="D0E0E3"/>
            <w:tcMar>
              <w:top w:w="80" w:type="dxa"/>
              <w:left w:w="80" w:type="dxa"/>
              <w:bottom w:w="80" w:type="dxa"/>
              <w:right w:w="80" w:type="dxa"/>
            </w:tcMar>
          </w:tcPr>
          <w:p w14:paraId="3959B754" w14:textId="6CD42F28" w:rsidR="00714EBA" w:rsidRDefault="00714EBA" w:rsidP="00714EBA">
            <w:pPr>
              <w:spacing w:line="240" w:lineRule="auto"/>
              <w:rPr>
                <w:sz w:val="20"/>
                <w:szCs w:val="20"/>
              </w:rPr>
            </w:pPr>
            <w:r>
              <w:rPr>
                <w:sz w:val="20"/>
                <w:szCs w:val="20"/>
              </w:rPr>
              <w:t>English Education License</w:t>
            </w:r>
          </w:p>
        </w:tc>
        <w:tc>
          <w:tcPr>
            <w:tcW w:w="924" w:type="pct"/>
            <w:shd w:val="clear" w:color="auto" w:fill="D0E0E3"/>
            <w:tcMar>
              <w:top w:w="80" w:type="dxa"/>
              <w:left w:w="80" w:type="dxa"/>
              <w:bottom w:w="80" w:type="dxa"/>
              <w:right w:w="80" w:type="dxa"/>
            </w:tcMar>
          </w:tcPr>
          <w:p w14:paraId="41DAEB48" w14:textId="5EDDDAA5" w:rsidR="00714EBA" w:rsidRDefault="00714EBA" w:rsidP="00714EBA">
            <w:pPr>
              <w:spacing w:line="240" w:lineRule="auto"/>
              <w:rPr>
                <w:sz w:val="20"/>
                <w:szCs w:val="20"/>
              </w:rPr>
            </w:pPr>
            <w:r>
              <w:rPr>
                <w:sz w:val="20"/>
                <w:szCs w:val="20"/>
              </w:rPr>
              <w:t>8</w:t>
            </w:r>
          </w:p>
        </w:tc>
        <w:tc>
          <w:tcPr>
            <w:tcW w:w="924" w:type="pct"/>
            <w:shd w:val="clear" w:color="auto" w:fill="D0E0E3"/>
            <w:tcMar>
              <w:top w:w="80" w:type="dxa"/>
              <w:left w:w="80" w:type="dxa"/>
              <w:bottom w:w="80" w:type="dxa"/>
              <w:right w:w="80" w:type="dxa"/>
            </w:tcMar>
          </w:tcPr>
          <w:p w14:paraId="0680F3DD" w14:textId="06106CF1" w:rsidR="00714EBA" w:rsidRPr="00CB6BCC" w:rsidRDefault="00354230" w:rsidP="00714EBA">
            <w:pPr>
              <w:spacing w:line="240" w:lineRule="auto"/>
              <w:rPr>
                <w:sz w:val="20"/>
                <w:szCs w:val="20"/>
              </w:rPr>
            </w:pPr>
            <w:r>
              <w:rPr>
                <w:sz w:val="20"/>
                <w:szCs w:val="20"/>
              </w:rPr>
              <w:t>4</w:t>
            </w:r>
          </w:p>
        </w:tc>
      </w:tr>
      <w:tr w:rsidR="00714EBA" w14:paraId="510AADCC"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7067140D" w14:textId="02E9F1B5" w:rsidR="00714EBA" w:rsidRPr="00017B3F" w:rsidRDefault="00714EBA" w:rsidP="00714EBA">
            <w:pPr>
              <w:spacing w:line="240" w:lineRule="auto"/>
              <w:rPr>
                <w:sz w:val="20"/>
                <w:szCs w:val="20"/>
              </w:rPr>
            </w:pPr>
            <w:proofErr w:type="spellStart"/>
            <w:r>
              <w:rPr>
                <w:sz w:val="20"/>
                <w:szCs w:val="20"/>
              </w:rPr>
              <w:t>FasTrack</w:t>
            </w:r>
            <w:proofErr w:type="spellEnd"/>
            <w:r>
              <w:rPr>
                <w:sz w:val="20"/>
                <w:szCs w:val="20"/>
              </w:rPr>
              <w:t>: P</w:t>
            </w:r>
            <w:r w:rsidRPr="005607CB">
              <w:rPr>
                <w:sz w:val="20"/>
                <w:szCs w:val="20"/>
              </w:rPr>
              <w:t>ost-</w:t>
            </w:r>
            <w:r>
              <w:rPr>
                <w:sz w:val="20"/>
                <w:szCs w:val="20"/>
              </w:rPr>
              <w:t>B</w:t>
            </w:r>
            <w:r w:rsidRPr="005607CB">
              <w:rPr>
                <w:sz w:val="20"/>
                <w:szCs w:val="20"/>
              </w:rPr>
              <w:t>accalaureate</w:t>
            </w:r>
          </w:p>
        </w:tc>
        <w:tc>
          <w:tcPr>
            <w:tcW w:w="1576" w:type="pct"/>
            <w:tcBorders>
              <w:bottom w:val="single" w:sz="4" w:space="0" w:color="000000"/>
            </w:tcBorders>
            <w:shd w:val="clear" w:color="auto" w:fill="D0E0E3"/>
            <w:tcMar>
              <w:top w:w="80" w:type="dxa"/>
              <w:left w:w="80" w:type="dxa"/>
              <w:bottom w:w="80" w:type="dxa"/>
              <w:right w:w="80" w:type="dxa"/>
            </w:tcMar>
          </w:tcPr>
          <w:p w14:paraId="3D791881" w14:textId="6D120AD6" w:rsidR="00714EBA" w:rsidRDefault="00714EBA" w:rsidP="00714EBA">
            <w:pPr>
              <w:spacing w:line="240" w:lineRule="auto"/>
              <w:rPr>
                <w:sz w:val="20"/>
                <w:szCs w:val="20"/>
              </w:rPr>
            </w:pPr>
            <w:r>
              <w:rPr>
                <w:sz w:val="20"/>
                <w:szCs w:val="20"/>
              </w:rPr>
              <w:t>Math Education License</w:t>
            </w:r>
          </w:p>
        </w:tc>
        <w:tc>
          <w:tcPr>
            <w:tcW w:w="924" w:type="pct"/>
            <w:shd w:val="clear" w:color="auto" w:fill="D0E0E3"/>
            <w:tcMar>
              <w:top w:w="80" w:type="dxa"/>
              <w:left w:w="80" w:type="dxa"/>
              <w:bottom w:w="80" w:type="dxa"/>
              <w:right w:w="80" w:type="dxa"/>
            </w:tcMar>
          </w:tcPr>
          <w:p w14:paraId="69ADE859" w14:textId="0019DBE3" w:rsidR="00714EBA" w:rsidRDefault="00714EBA" w:rsidP="00714EBA">
            <w:pPr>
              <w:spacing w:line="240" w:lineRule="auto"/>
              <w:rPr>
                <w:sz w:val="20"/>
                <w:szCs w:val="20"/>
              </w:rPr>
            </w:pPr>
            <w:r>
              <w:rPr>
                <w:sz w:val="20"/>
                <w:szCs w:val="20"/>
              </w:rPr>
              <w:t>6</w:t>
            </w:r>
          </w:p>
        </w:tc>
        <w:tc>
          <w:tcPr>
            <w:tcW w:w="924" w:type="pct"/>
            <w:shd w:val="clear" w:color="auto" w:fill="D0E0E3"/>
            <w:tcMar>
              <w:top w:w="80" w:type="dxa"/>
              <w:left w:w="80" w:type="dxa"/>
              <w:bottom w:w="80" w:type="dxa"/>
              <w:right w:w="80" w:type="dxa"/>
            </w:tcMar>
          </w:tcPr>
          <w:p w14:paraId="4FB79637" w14:textId="60529C2F" w:rsidR="00714EBA" w:rsidRPr="00CB6BCC" w:rsidRDefault="00354230" w:rsidP="00714EBA">
            <w:pPr>
              <w:spacing w:line="240" w:lineRule="auto"/>
              <w:rPr>
                <w:sz w:val="20"/>
                <w:szCs w:val="20"/>
              </w:rPr>
            </w:pPr>
            <w:r>
              <w:rPr>
                <w:sz w:val="20"/>
                <w:szCs w:val="20"/>
              </w:rPr>
              <w:t>0</w:t>
            </w:r>
          </w:p>
        </w:tc>
      </w:tr>
      <w:tr w:rsidR="00714EBA" w14:paraId="728C81FC"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07904904" w14:textId="63EA658C" w:rsidR="00714EBA" w:rsidRPr="00017B3F" w:rsidRDefault="00714EBA" w:rsidP="00714EBA">
            <w:pPr>
              <w:spacing w:line="240" w:lineRule="auto"/>
              <w:rPr>
                <w:sz w:val="20"/>
                <w:szCs w:val="20"/>
              </w:rPr>
            </w:pPr>
            <w:proofErr w:type="spellStart"/>
            <w:r>
              <w:rPr>
                <w:sz w:val="20"/>
                <w:szCs w:val="20"/>
              </w:rPr>
              <w:t>FasTrack</w:t>
            </w:r>
            <w:proofErr w:type="spellEnd"/>
            <w:r>
              <w:rPr>
                <w:sz w:val="20"/>
                <w:szCs w:val="20"/>
              </w:rPr>
              <w:t>: P</w:t>
            </w:r>
            <w:r w:rsidRPr="005607CB">
              <w:rPr>
                <w:sz w:val="20"/>
                <w:szCs w:val="20"/>
              </w:rPr>
              <w:t>ost-</w:t>
            </w:r>
            <w:r>
              <w:rPr>
                <w:sz w:val="20"/>
                <w:szCs w:val="20"/>
              </w:rPr>
              <w:t>B</w:t>
            </w:r>
            <w:r w:rsidRPr="005607CB">
              <w:rPr>
                <w:sz w:val="20"/>
                <w:szCs w:val="20"/>
              </w:rPr>
              <w:t>accalaureate</w:t>
            </w:r>
          </w:p>
        </w:tc>
        <w:tc>
          <w:tcPr>
            <w:tcW w:w="1576" w:type="pct"/>
            <w:tcBorders>
              <w:bottom w:val="single" w:sz="4" w:space="0" w:color="000000"/>
            </w:tcBorders>
            <w:shd w:val="clear" w:color="auto" w:fill="D0E0E3"/>
            <w:tcMar>
              <w:top w:w="80" w:type="dxa"/>
              <w:left w:w="80" w:type="dxa"/>
              <w:bottom w:w="80" w:type="dxa"/>
              <w:right w:w="80" w:type="dxa"/>
            </w:tcMar>
          </w:tcPr>
          <w:p w14:paraId="454DCAD0" w14:textId="6EDC439B" w:rsidR="00714EBA" w:rsidRDefault="00714EBA" w:rsidP="00714EBA">
            <w:pPr>
              <w:spacing w:line="240" w:lineRule="auto"/>
              <w:rPr>
                <w:sz w:val="20"/>
                <w:szCs w:val="20"/>
              </w:rPr>
            </w:pPr>
            <w:r>
              <w:rPr>
                <w:sz w:val="20"/>
                <w:szCs w:val="20"/>
              </w:rPr>
              <w:t>Social Studies Education License</w:t>
            </w:r>
          </w:p>
        </w:tc>
        <w:tc>
          <w:tcPr>
            <w:tcW w:w="924" w:type="pct"/>
            <w:shd w:val="clear" w:color="auto" w:fill="D0E0E3"/>
            <w:tcMar>
              <w:top w:w="80" w:type="dxa"/>
              <w:left w:w="80" w:type="dxa"/>
              <w:bottom w:w="80" w:type="dxa"/>
              <w:right w:w="80" w:type="dxa"/>
            </w:tcMar>
          </w:tcPr>
          <w:p w14:paraId="546A556B" w14:textId="7B15552C" w:rsidR="00714EBA" w:rsidRDefault="00714EBA" w:rsidP="00714EBA">
            <w:pPr>
              <w:spacing w:line="240" w:lineRule="auto"/>
              <w:rPr>
                <w:sz w:val="20"/>
                <w:szCs w:val="20"/>
              </w:rPr>
            </w:pPr>
            <w:r>
              <w:rPr>
                <w:sz w:val="20"/>
                <w:szCs w:val="20"/>
              </w:rPr>
              <w:t>6</w:t>
            </w:r>
          </w:p>
        </w:tc>
        <w:tc>
          <w:tcPr>
            <w:tcW w:w="924" w:type="pct"/>
            <w:shd w:val="clear" w:color="auto" w:fill="D0E0E3"/>
            <w:tcMar>
              <w:top w:w="80" w:type="dxa"/>
              <w:left w:w="80" w:type="dxa"/>
              <w:bottom w:w="80" w:type="dxa"/>
              <w:right w:w="80" w:type="dxa"/>
            </w:tcMar>
          </w:tcPr>
          <w:p w14:paraId="0E5BCB22" w14:textId="6EE520ED" w:rsidR="00714EBA" w:rsidRPr="00CB6BCC" w:rsidRDefault="00354230" w:rsidP="00714EBA">
            <w:pPr>
              <w:spacing w:line="240" w:lineRule="auto"/>
              <w:rPr>
                <w:sz w:val="20"/>
                <w:szCs w:val="20"/>
              </w:rPr>
            </w:pPr>
            <w:r>
              <w:rPr>
                <w:sz w:val="20"/>
                <w:szCs w:val="20"/>
              </w:rPr>
              <w:t>1</w:t>
            </w:r>
          </w:p>
        </w:tc>
      </w:tr>
      <w:tr w:rsidR="00714EBA" w14:paraId="1590A854"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4B19AD60" w14:textId="32469FED" w:rsidR="00714EBA" w:rsidRPr="00017B3F" w:rsidRDefault="00714EBA" w:rsidP="00714EBA">
            <w:pPr>
              <w:spacing w:line="240" w:lineRule="auto"/>
              <w:rPr>
                <w:sz w:val="20"/>
                <w:szCs w:val="20"/>
              </w:rPr>
            </w:pPr>
            <w:proofErr w:type="spellStart"/>
            <w:r>
              <w:rPr>
                <w:sz w:val="20"/>
                <w:szCs w:val="20"/>
              </w:rPr>
              <w:t>FasTrack</w:t>
            </w:r>
            <w:proofErr w:type="spellEnd"/>
            <w:r>
              <w:rPr>
                <w:sz w:val="20"/>
                <w:szCs w:val="20"/>
              </w:rPr>
              <w:t>: P</w:t>
            </w:r>
            <w:r w:rsidRPr="005607CB">
              <w:rPr>
                <w:sz w:val="20"/>
                <w:szCs w:val="20"/>
              </w:rPr>
              <w:t>ost-</w:t>
            </w:r>
            <w:r>
              <w:rPr>
                <w:sz w:val="20"/>
                <w:szCs w:val="20"/>
              </w:rPr>
              <w:t>B</w:t>
            </w:r>
            <w:r w:rsidRPr="005607CB">
              <w:rPr>
                <w:sz w:val="20"/>
                <w:szCs w:val="20"/>
              </w:rPr>
              <w:t>accalaureate</w:t>
            </w:r>
          </w:p>
        </w:tc>
        <w:tc>
          <w:tcPr>
            <w:tcW w:w="1576" w:type="pct"/>
            <w:tcBorders>
              <w:bottom w:val="single" w:sz="4" w:space="0" w:color="000000"/>
            </w:tcBorders>
            <w:shd w:val="clear" w:color="auto" w:fill="D0E0E3"/>
            <w:tcMar>
              <w:top w:w="80" w:type="dxa"/>
              <w:left w:w="80" w:type="dxa"/>
              <w:bottom w:w="80" w:type="dxa"/>
              <w:right w:w="80" w:type="dxa"/>
            </w:tcMar>
          </w:tcPr>
          <w:p w14:paraId="331D248D" w14:textId="131A7591" w:rsidR="00714EBA" w:rsidRDefault="00714EBA" w:rsidP="00714EBA">
            <w:pPr>
              <w:spacing w:line="240" w:lineRule="auto"/>
              <w:rPr>
                <w:sz w:val="20"/>
                <w:szCs w:val="20"/>
              </w:rPr>
            </w:pPr>
            <w:r>
              <w:rPr>
                <w:sz w:val="20"/>
                <w:szCs w:val="20"/>
              </w:rPr>
              <w:t>Science: Chemistry Education License</w:t>
            </w:r>
          </w:p>
        </w:tc>
        <w:tc>
          <w:tcPr>
            <w:tcW w:w="924" w:type="pct"/>
            <w:shd w:val="clear" w:color="auto" w:fill="D0E0E3"/>
            <w:tcMar>
              <w:top w:w="80" w:type="dxa"/>
              <w:left w:w="80" w:type="dxa"/>
              <w:bottom w:w="80" w:type="dxa"/>
              <w:right w:w="80" w:type="dxa"/>
            </w:tcMar>
          </w:tcPr>
          <w:p w14:paraId="0010058D" w14:textId="7C7184A6" w:rsidR="00714EBA" w:rsidRDefault="00714EBA" w:rsidP="00714EBA">
            <w:pPr>
              <w:spacing w:line="240" w:lineRule="auto"/>
              <w:rPr>
                <w:sz w:val="20"/>
                <w:szCs w:val="20"/>
              </w:rPr>
            </w:pPr>
            <w:r>
              <w:rPr>
                <w:sz w:val="20"/>
                <w:szCs w:val="20"/>
              </w:rPr>
              <w:t>7</w:t>
            </w:r>
          </w:p>
        </w:tc>
        <w:tc>
          <w:tcPr>
            <w:tcW w:w="924" w:type="pct"/>
            <w:shd w:val="clear" w:color="auto" w:fill="D0E0E3"/>
            <w:tcMar>
              <w:top w:w="80" w:type="dxa"/>
              <w:left w:w="80" w:type="dxa"/>
              <w:bottom w:w="80" w:type="dxa"/>
              <w:right w:w="80" w:type="dxa"/>
            </w:tcMar>
          </w:tcPr>
          <w:p w14:paraId="01B19AEA" w14:textId="672D2892" w:rsidR="00714EBA" w:rsidRPr="00CB6BCC" w:rsidRDefault="00354230" w:rsidP="00714EBA">
            <w:pPr>
              <w:spacing w:line="240" w:lineRule="auto"/>
              <w:rPr>
                <w:sz w:val="20"/>
                <w:szCs w:val="20"/>
              </w:rPr>
            </w:pPr>
            <w:r>
              <w:rPr>
                <w:sz w:val="20"/>
                <w:szCs w:val="20"/>
              </w:rPr>
              <w:t>1</w:t>
            </w:r>
          </w:p>
        </w:tc>
      </w:tr>
      <w:tr w:rsidR="00714EBA" w14:paraId="48741047"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4AD4413C" w14:textId="5A721F70" w:rsidR="00714EBA" w:rsidRPr="00017B3F" w:rsidRDefault="00714EBA" w:rsidP="00714EBA">
            <w:pPr>
              <w:spacing w:line="240" w:lineRule="auto"/>
              <w:rPr>
                <w:sz w:val="20"/>
                <w:szCs w:val="20"/>
              </w:rPr>
            </w:pPr>
            <w:proofErr w:type="spellStart"/>
            <w:r>
              <w:rPr>
                <w:sz w:val="20"/>
                <w:szCs w:val="20"/>
              </w:rPr>
              <w:lastRenderedPageBreak/>
              <w:t>FasTrack</w:t>
            </w:r>
            <w:proofErr w:type="spellEnd"/>
            <w:r>
              <w:rPr>
                <w:sz w:val="20"/>
                <w:szCs w:val="20"/>
              </w:rPr>
              <w:t>: P</w:t>
            </w:r>
            <w:r w:rsidRPr="005607CB">
              <w:rPr>
                <w:sz w:val="20"/>
                <w:szCs w:val="20"/>
              </w:rPr>
              <w:t>ost-</w:t>
            </w:r>
            <w:r>
              <w:rPr>
                <w:sz w:val="20"/>
                <w:szCs w:val="20"/>
              </w:rPr>
              <w:t>B</w:t>
            </w:r>
            <w:r w:rsidRPr="005607CB">
              <w:rPr>
                <w:sz w:val="20"/>
                <w:szCs w:val="20"/>
              </w:rPr>
              <w:t>accalaureate</w:t>
            </w:r>
          </w:p>
        </w:tc>
        <w:tc>
          <w:tcPr>
            <w:tcW w:w="1576" w:type="pct"/>
            <w:tcBorders>
              <w:bottom w:val="single" w:sz="4" w:space="0" w:color="000000"/>
            </w:tcBorders>
            <w:shd w:val="clear" w:color="auto" w:fill="D0E0E3"/>
            <w:tcMar>
              <w:top w:w="80" w:type="dxa"/>
              <w:left w:w="80" w:type="dxa"/>
              <w:bottom w:w="80" w:type="dxa"/>
              <w:right w:w="80" w:type="dxa"/>
            </w:tcMar>
          </w:tcPr>
          <w:p w14:paraId="4BD77C94" w14:textId="791CF0A6" w:rsidR="00714EBA" w:rsidRDefault="00714EBA" w:rsidP="00714EBA">
            <w:pPr>
              <w:spacing w:line="240" w:lineRule="auto"/>
              <w:rPr>
                <w:sz w:val="20"/>
                <w:szCs w:val="20"/>
              </w:rPr>
            </w:pPr>
            <w:r>
              <w:rPr>
                <w:sz w:val="20"/>
                <w:szCs w:val="20"/>
              </w:rPr>
              <w:t>Science: Earth Space Education License</w:t>
            </w:r>
          </w:p>
        </w:tc>
        <w:tc>
          <w:tcPr>
            <w:tcW w:w="924" w:type="pct"/>
            <w:shd w:val="clear" w:color="auto" w:fill="D0E0E3"/>
            <w:tcMar>
              <w:top w:w="80" w:type="dxa"/>
              <w:left w:w="80" w:type="dxa"/>
              <w:bottom w:w="80" w:type="dxa"/>
              <w:right w:w="80" w:type="dxa"/>
            </w:tcMar>
          </w:tcPr>
          <w:p w14:paraId="24D3152E" w14:textId="29FAD21C" w:rsidR="00714EBA" w:rsidRDefault="00714EBA" w:rsidP="00714EBA">
            <w:pPr>
              <w:spacing w:line="240" w:lineRule="auto"/>
              <w:rPr>
                <w:sz w:val="20"/>
                <w:szCs w:val="20"/>
              </w:rPr>
            </w:pPr>
            <w:r>
              <w:rPr>
                <w:sz w:val="20"/>
                <w:szCs w:val="20"/>
              </w:rPr>
              <w:t>1</w:t>
            </w:r>
          </w:p>
        </w:tc>
        <w:tc>
          <w:tcPr>
            <w:tcW w:w="924" w:type="pct"/>
            <w:shd w:val="clear" w:color="auto" w:fill="D0E0E3"/>
            <w:tcMar>
              <w:top w:w="80" w:type="dxa"/>
              <w:left w:w="80" w:type="dxa"/>
              <w:bottom w:w="80" w:type="dxa"/>
              <w:right w:w="80" w:type="dxa"/>
            </w:tcMar>
          </w:tcPr>
          <w:p w14:paraId="50E05044" w14:textId="5C3EB34E" w:rsidR="00714EBA" w:rsidRPr="00CB6BCC" w:rsidRDefault="00354230" w:rsidP="00714EBA">
            <w:pPr>
              <w:spacing w:line="240" w:lineRule="auto"/>
              <w:rPr>
                <w:sz w:val="20"/>
                <w:szCs w:val="20"/>
              </w:rPr>
            </w:pPr>
            <w:r>
              <w:rPr>
                <w:sz w:val="20"/>
                <w:szCs w:val="20"/>
              </w:rPr>
              <w:t>0</w:t>
            </w:r>
          </w:p>
        </w:tc>
      </w:tr>
      <w:tr w:rsidR="00714EBA" w14:paraId="55731F53"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4592C976" w14:textId="672CEB72" w:rsidR="00714EBA" w:rsidRPr="00017B3F" w:rsidRDefault="00714EBA" w:rsidP="00714EBA">
            <w:pPr>
              <w:spacing w:line="240" w:lineRule="auto"/>
              <w:rPr>
                <w:sz w:val="20"/>
                <w:szCs w:val="20"/>
              </w:rPr>
            </w:pPr>
            <w:proofErr w:type="spellStart"/>
            <w:r>
              <w:rPr>
                <w:sz w:val="20"/>
                <w:szCs w:val="20"/>
              </w:rPr>
              <w:t>FasTrack</w:t>
            </w:r>
            <w:proofErr w:type="spellEnd"/>
            <w:r>
              <w:rPr>
                <w:sz w:val="20"/>
                <w:szCs w:val="20"/>
              </w:rPr>
              <w:t>: P</w:t>
            </w:r>
            <w:r w:rsidRPr="005607CB">
              <w:rPr>
                <w:sz w:val="20"/>
                <w:szCs w:val="20"/>
              </w:rPr>
              <w:t>ost-</w:t>
            </w:r>
            <w:r>
              <w:rPr>
                <w:sz w:val="20"/>
                <w:szCs w:val="20"/>
              </w:rPr>
              <w:t>B</w:t>
            </w:r>
            <w:r w:rsidRPr="005607CB">
              <w:rPr>
                <w:sz w:val="20"/>
                <w:szCs w:val="20"/>
              </w:rPr>
              <w:t>accalaureate</w:t>
            </w:r>
          </w:p>
        </w:tc>
        <w:tc>
          <w:tcPr>
            <w:tcW w:w="1576" w:type="pct"/>
            <w:tcBorders>
              <w:bottom w:val="single" w:sz="4" w:space="0" w:color="000000"/>
            </w:tcBorders>
            <w:shd w:val="clear" w:color="auto" w:fill="D0E0E3"/>
            <w:tcMar>
              <w:top w:w="80" w:type="dxa"/>
              <w:left w:w="80" w:type="dxa"/>
              <w:bottom w:w="80" w:type="dxa"/>
              <w:right w:w="80" w:type="dxa"/>
            </w:tcMar>
          </w:tcPr>
          <w:p w14:paraId="2B479640" w14:textId="6648FA40" w:rsidR="00714EBA" w:rsidRDefault="00714EBA" w:rsidP="00714EBA">
            <w:pPr>
              <w:spacing w:line="240" w:lineRule="auto"/>
              <w:rPr>
                <w:sz w:val="20"/>
                <w:szCs w:val="20"/>
              </w:rPr>
            </w:pPr>
            <w:r>
              <w:rPr>
                <w:sz w:val="20"/>
                <w:szCs w:val="20"/>
              </w:rPr>
              <w:t>Science: Life Science Education License</w:t>
            </w:r>
          </w:p>
        </w:tc>
        <w:tc>
          <w:tcPr>
            <w:tcW w:w="924" w:type="pct"/>
            <w:shd w:val="clear" w:color="auto" w:fill="D0E0E3"/>
            <w:tcMar>
              <w:top w:w="80" w:type="dxa"/>
              <w:left w:w="80" w:type="dxa"/>
              <w:bottom w:w="80" w:type="dxa"/>
              <w:right w:w="80" w:type="dxa"/>
            </w:tcMar>
          </w:tcPr>
          <w:p w14:paraId="745BDBAE" w14:textId="48DD0450" w:rsidR="00714EBA" w:rsidRDefault="00714EBA" w:rsidP="00714EBA">
            <w:pPr>
              <w:spacing w:line="240" w:lineRule="auto"/>
              <w:rPr>
                <w:sz w:val="20"/>
                <w:szCs w:val="20"/>
              </w:rPr>
            </w:pPr>
            <w:r>
              <w:rPr>
                <w:sz w:val="20"/>
                <w:szCs w:val="20"/>
              </w:rPr>
              <w:t>11</w:t>
            </w:r>
          </w:p>
        </w:tc>
        <w:tc>
          <w:tcPr>
            <w:tcW w:w="924" w:type="pct"/>
            <w:shd w:val="clear" w:color="auto" w:fill="D0E0E3"/>
            <w:tcMar>
              <w:top w:w="80" w:type="dxa"/>
              <w:left w:w="80" w:type="dxa"/>
              <w:bottom w:w="80" w:type="dxa"/>
              <w:right w:w="80" w:type="dxa"/>
            </w:tcMar>
          </w:tcPr>
          <w:p w14:paraId="03079887" w14:textId="60EA01F5" w:rsidR="00714EBA" w:rsidRPr="00CB6BCC" w:rsidRDefault="00354230" w:rsidP="00714EBA">
            <w:pPr>
              <w:spacing w:line="240" w:lineRule="auto"/>
              <w:rPr>
                <w:sz w:val="20"/>
                <w:szCs w:val="20"/>
              </w:rPr>
            </w:pPr>
            <w:r>
              <w:rPr>
                <w:sz w:val="20"/>
                <w:szCs w:val="20"/>
              </w:rPr>
              <w:t>7</w:t>
            </w:r>
          </w:p>
        </w:tc>
      </w:tr>
      <w:tr w:rsidR="00714EBA" w14:paraId="04E577A1"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09638F28" w14:textId="5668A08F" w:rsidR="00714EBA" w:rsidRDefault="00714EBA" w:rsidP="00714EBA">
            <w:pPr>
              <w:spacing w:line="240" w:lineRule="auto"/>
              <w:rPr>
                <w:sz w:val="20"/>
                <w:szCs w:val="20"/>
              </w:rPr>
            </w:pPr>
            <w:proofErr w:type="spellStart"/>
            <w:r>
              <w:rPr>
                <w:sz w:val="20"/>
                <w:szCs w:val="20"/>
              </w:rPr>
              <w:t>FasTrack</w:t>
            </w:r>
            <w:proofErr w:type="spellEnd"/>
            <w:r>
              <w:rPr>
                <w:sz w:val="20"/>
                <w:szCs w:val="20"/>
              </w:rPr>
              <w:t>: P</w:t>
            </w:r>
            <w:r w:rsidRPr="005607CB">
              <w:rPr>
                <w:sz w:val="20"/>
                <w:szCs w:val="20"/>
              </w:rPr>
              <w:t>ost-</w:t>
            </w:r>
            <w:r>
              <w:rPr>
                <w:sz w:val="20"/>
                <w:szCs w:val="20"/>
              </w:rPr>
              <w:t>B</w:t>
            </w:r>
            <w:r w:rsidRPr="005607CB">
              <w:rPr>
                <w:sz w:val="20"/>
                <w:szCs w:val="20"/>
              </w:rPr>
              <w:t>accalaureate</w:t>
            </w:r>
          </w:p>
        </w:tc>
        <w:tc>
          <w:tcPr>
            <w:tcW w:w="1576" w:type="pct"/>
            <w:tcBorders>
              <w:bottom w:val="single" w:sz="4" w:space="0" w:color="000000"/>
            </w:tcBorders>
            <w:shd w:val="clear" w:color="auto" w:fill="D0E0E3"/>
            <w:tcMar>
              <w:top w:w="80" w:type="dxa"/>
              <w:left w:w="80" w:type="dxa"/>
              <w:bottom w:w="80" w:type="dxa"/>
              <w:right w:w="80" w:type="dxa"/>
            </w:tcMar>
          </w:tcPr>
          <w:p w14:paraId="4B77945F" w14:textId="01B5632A" w:rsidR="00714EBA" w:rsidRDefault="00714EBA" w:rsidP="00714EBA">
            <w:pPr>
              <w:spacing w:line="240" w:lineRule="auto"/>
              <w:rPr>
                <w:sz w:val="20"/>
                <w:szCs w:val="20"/>
              </w:rPr>
            </w:pPr>
            <w:r>
              <w:rPr>
                <w:sz w:val="20"/>
                <w:szCs w:val="20"/>
              </w:rPr>
              <w:t>Health Education License</w:t>
            </w:r>
          </w:p>
        </w:tc>
        <w:tc>
          <w:tcPr>
            <w:tcW w:w="924" w:type="pct"/>
            <w:shd w:val="clear" w:color="auto" w:fill="D0E0E3"/>
            <w:tcMar>
              <w:top w:w="80" w:type="dxa"/>
              <w:left w:w="80" w:type="dxa"/>
              <w:bottom w:w="80" w:type="dxa"/>
              <w:right w:w="80" w:type="dxa"/>
            </w:tcMar>
          </w:tcPr>
          <w:p w14:paraId="4583EC1C" w14:textId="61FB558A" w:rsidR="00714EBA" w:rsidRDefault="00714EBA" w:rsidP="00714EBA">
            <w:pPr>
              <w:spacing w:line="240" w:lineRule="auto"/>
              <w:rPr>
                <w:sz w:val="20"/>
                <w:szCs w:val="20"/>
              </w:rPr>
            </w:pPr>
            <w:r>
              <w:rPr>
                <w:sz w:val="20"/>
                <w:szCs w:val="20"/>
              </w:rPr>
              <w:t>7</w:t>
            </w:r>
          </w:p>
        </w:tc>
        <w:tc>
          <w:tcPr>
            <w:tcW w:w="924" w:type="pct"/>
            <w:shd w:val="clear" w:color="auto" w:fill="D0E0E3"/>
            <w:tcMar>
              <w:top w:w="80" w:type="dxa"/>
              <w:left w:w="80" w:type="dxa"/>
              <w:bottom w:w="80" w:type="dxa"/>
              <w:right w:w="80" w:type="dxa"/>
            </w:tcMar>
          </w:tcPr>
          <w:p w14:paraId="7105C1B7" w14:textId="50337A19" w:rsidR="00714EBA" w:rsidRPr="00CB6BCC" w:rsidRDefault="00354230" w:rsidP="00714EBA">
            <w:pPr>
              <w:spacing w:line="240" w:lineRule="auto"/>
              <w:rPr>
                <w:sz w:val="20"/>
                <w:szCs w:val="20"/>
              </w:rPr>
            </w:pPr>
            <w:r>
              <w:rPr>
                <w:sz w:val="20"/>
                <w:szCs w:val="20"/>
              </w:rPr>
              <w:t>1</w:t>
            </w:r>
          </w:p>
        </w:tc>
      </w:tr>
      <w:tr w:rsidR="00714EBA" w14:paraId="43022BAC"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7ACC3CBE" w14:textId="06E47A4D" w:rsidR="00714EBA" w:rsidRDefault="00714EBA" w:rsidP="00714EBA">
            <w:pPr>
              <w:spacing w:line="240" w:lineRule="auto"/>
              <w:rPr>
                <w:sz w:val="20"/>
                <w:szCs w:val="20"/>
              </w:rPr>
            </w:pPr>
            <w:proofErr w:type="spellStart"/>
            <w:r>
              <w:rPr>
                <w:sz w:val="20"/>
                <w:szCs w:val="20"/>
              </w:rPr>
              <w:t>FasTrack</w:t>
            </w:r>
            <w:proofErr w:type="spellEnd"/>
            <w:r>
              <w:rPr>
                <w:sz w:val="20"/>
                <w:szCs w:val="20"/>
              </w:rPr>
              <w:t>: P</w:t>
            </w:r>
            <w:r w:rsidRPr="005607CB">
              <w:rPr>
                <w:sz w:val="20"/>
                <w:szCs w:val="20"/>
              </w:rPr>
              <w:t>ost-</w:t>
            </w:r>
            <w:r>
              <w:rPr>
                <w:sz w:val="20"/>
                <w:szCs w:val="20"/>
              </w:rPr>
              <w:t>B</w:t>
            </w:r>
            <w:r w:rsidRPr="005607CB">
              <w:rPr>
                <w:sz w:val="20"/>
                <w:szCs w:val="20"/>
              </w:rPr>
              <w:t>accalaureate</w:t>
            </w:r>
          </w:p>
        </w:tc>
        <w:tc>
          <w:tcPr>
            <w:tcW w:w="1576" w:type="pct"/>
            <w:tcBorders>
              <w:bottom w:val="single" w:sz="4" w:space="0" w:color="000000"/>
            </w:tcBorders>
            <w:shd w:val="clear" w:color="auto" w:fill="D0E0E3"/>
            <w:tcMar>
              <w:top w:w="80" w:type="dxa"/>
              <w:left w:w="80" w:type="dxa"/>
              <w:bottom w:w="80" w:type="dxa"/>
              <w:right w:w="80" w:type="dxa"/>
            </w:tcMar>
          </w:tcPr>
          <w:p w14:paraId="08432E60" w14:textId="26A9E5B3" w:rsidR="00714EBA" w:rsidRDefault="00714EBA" w:rsidP="00714EBA">
            <w:pPr>
              <w:spacing w:line="240" w:lineRule="auto"/>
              <w:rPr>
                <w:sz w:val="20"/>
                <w:szCs w:val="20"/>
              </w:rPr>
            </w:pPr>
            <w:r>
              <w:rPr>
                <w:sz w:val="20"/>
                <w:szCs w:val="20"/>
              </w:rPr>
              <w:t>Physical Education License</w:t>
            </w:r>
          </w:p>
        </w:tc>
        <w:tc>
          <w:tcPr>
            <w:tcW w:w="924" w:type="pct"/>
            <w:shd w:val="clear" w:color="auto" w:fill="D0E0E3"/>
            <w:tcMar>
              <w:top w:w="80" w:type="dxa"/>
              <w:left w:w="80" w:type="dxa"/>
              <w:bottom w:w="80" w:type="dxa"/>
              <w:right w:w="80" w:type="dxa"/>
            </w:tcMar>
          </w:tcPr>
          <w:p w14:paraId="1456DB57" w14:textId="5AD6A3B8" w:rsidR="00714EBA" w:rsidRDefault="00714EBA" w:rsidP="00714EBA">
            <w:pPr>
              <w:spacing w:line="240" w:lineRule="auto"/>
              <w:rPr>
                <w:sz w:val="20"/>
                <w:szCs w:val="20"/>
              </w:rPr>
            </w:pPr>
            <w:r>
              <w:rPr>
                <w:sz w:val="20"/>
                <w:szCs w:val="20"/>
              </w:rPr>
              <w:t>11</w:t>
            </w:r>
          </w:p>
        </w:tc>
        <w:tc>
          <w:tcPr>
            <w:tcW w:w="924" w:type="pct"/>
            <w:shd w:val="clear" w:color="auto" w:fill="D0E0E3"/>
            <w:tcMar>
              <w:top w:w="80" w:type="dxa"/>
              <w:left w:w="80" w:type="dxa"/>
              <w:bottom w:w="80" w:type="dxa"/>
              <w:right w:w="80" w:type="dxa"/>
            </w:tcMar>
          </w:tcPr>
          <w:p w14:paraId="63295080" w14:textId="61DFF4A9" w:rsidR="00714EBA" w:rsidRPr="00CB6BCC" w:rsidRDefault="00354230" w:rsidP="00714EBA">
            <w:pPr>
              <w:spacing w:line="240" w:lineRule="auto"/>
              <w:rPr>
                <w:sz w:val="20"/>
                <w:szCs w:val="20"/>
              </w:rPr>
            </w:pPr>
            <w:r>
              <w:rPr>
                <w:sz w:val="20"/>
                <w:szCs w:val="20"/>
              </w:rPr>
              <w:t>2</w:t>
            </w:r>
          </w:p>
        </w:tc>
      </w:tr>
      <w:tr w:rsidR="00E75C46" w14:paraId="3240520A"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78E73832" w14:textId="2D652F5A" w:rsidR="00E75C46" w:rsidRDefault="00E75C46" w:rsidP="00714EBA">
            <w:pPr>
              <w:spacing w:line="240" w:lineRule="auto"/>
              <w:rPr>
                <w:sz w:val="20"/>
                <w:szCs w:val="20"/>
              </w:rPr>
            </w:pPr>
            <w:proofErr w:type="spellStart"/>
            <w:r>
              <w:rPr>
                <w:sz w:val="20"/>
                <w:szCs w:val="20"/>
              </w:rPr>
              <w:t>FasTrack</w:t>
            </w:r>
            <w:proofErr w:type="spellEnd"/>
            <w:r>
              <w:rPr>
                <w:sz w:val="20"/>
                <w:szCs w:val="20"/>
              </w:rPr>
              <w:t>-SPED: Post-Baccalaureate</w:t>
            </w:r>
          </w:p>
        </w:tc>
        <w:tc>
          <w:tcPr>
            <w:tcW w:w="1576" w:type="pct"/>
            <w:tcBorders>
              <w:bottom w:val="single" w:sz="4" w:space="0" w:color="000000"/>
            </w:tcBorders>
            <w:shd w:val="clear" w:color="auto" w:fill="D0E0E3"/>
            <w:tcMar>
              <w:top w:w="80" w:type="dxa"/>
              <w:left w:w="80" w:type="dxa"/>
              <w:bottom w:w="80" w:type="dxa"/>
              <w:right w:w="80" w:type="dxa"/>
            </w:tcMar>
          </w:tcPr>
          <w:p w14:paraId="5963D17F" w14:textId="7A4C86D4" w:rsidR="00E75C46" w:rsidRDefault="00E75C46" w:rsidP="00714EBA">
            <w:pPr>
              <w:spacing w:line="240" w:lineRule="auto"/>
              <w:rPr>
                <w:sz w:val="20"/>
                <w:szCs w:val="20"/>
              </w:rPr>
            </w:pPr>
            <w:r>
              <w:rPr>
                <w:sz w:val="20"/>
                <w:szCs w:val="20"/>
              </w:rPr>
              <w:t>Special Education License</w:t>
            </w:r>
          </w:p>
        </w:tc>
        <w:tc>
          <w:tcPr>
            <w:tcW w:w="924" w:type="pct"/>
            <w:shd w:val="clear" w:color="auto" w:fill="D0E0E3"/>
            <w:tcMar>
              <w:top w:w="80" w:type="dxa"/>
              <w:left w:w="80" w:type="dxa"/>
              <w:bottom w:w="80" w:type="dxa"/>
              <w:right w:w="80" w:type="dxa"/>
            </w:tcMar>
          </w:tcPr>
          <w:p w14:paraId="6568CE60" w14:textId="1C3B8F62" w:rsidR="00E75C46" w:rsidRDefault="00E75C46" w:rsidP="00714EBA">
            <w:pPr>
              <w:spacing w:line="240" w:lineRule="auto"/>
              <w:rPr>
                <w:sz w:val="20"/>
                <w:szCs w:val="20"/>
              </w:rPr>
            </w:pPr>
            <w:r>
              <w:rPr>
                <w:sz w:val="20"/>
                <w:szCs w:val="20"/>
              </w:rPr>
              <w:t>62</w:t>
            </w:r>
          </w:p>
        </w:tc>
        <w:tc>
          <w:tcPr>
            <w:tcW w:w="924" w:type="pct"/>
            <w:shd w:val="clear" w:color="auto" w:fill="D0E0E3"/>
            <w:tcMar>
              <w:top w:w="80" w:type="dxa"/>
              <w:left w:w="80" w:type="dxa"/>
              <w:bottom w:w="80" w:type="dxa"/>
              <w:right w:w="80" w:type="dxa"/>
            </w:tcMar>
          </w:tcPr>
          <w:p w14:paraId="00C21F88" w14:textId="70D56B56" w:rsidR="00E75C46" w:rsidRPr="00CB6BCC" w:rsidRDefault="00354230" w:rsidP="00714EBA">
            <w:pPr>
              <w:spacing w:line="240" w:lineRule="auto"/>
              <w:rPr>
                <w:sz w:val="20"/>
                <w:szCs w:val="20"/>
              </w:rPr>
            </w:pPr>
            <w:r>
              <w:rPr>
                <w:sz w:val="20"/>
                <w:szCs w:val="20"/>
              </w:rPr>
              <w:t>20</w:t>
            </w:r>
          </w:p>
        </w:tc>
      </w:tr>
      <w:tr w:rsidR="00354230" w14:paraId="3E676138"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76B1FFB6" w14:textId="7D30807E" w:rsidR="00354230" w:rsidRDefault="00354230" w:rsidP="00354230">
            <w:pPr>
              <w:spacing w:line="240" w:lineRule="auto"/>
              <w:rPr>
                <w:sz w:val="20"/>
                <w:szCs w:val="20"/>
              </w:rPr>
            </w:pPr>
            <w:proofErr w:type="spellStart"/>
            <w:r>
              <w:rPr>
                <w:sz w:val="20"/>
                <w:szCs w:val="20"/>
              </w:rPr>
              <w:t>FasTrack</w:t>
            </w:r>
            <w:proofErr w:type="spellEnd"/>
            <w:r>
              <w:rPr>
                <w:sz w:val="20"/>
                <w:szCs w:val="20"/>
              </w:rPr>
              <w:t>-SPED: Post-Baccalaureate</w:t>
            </w:r>
          </w:p>
        </w:tc>
        <w:tc>
          <w:tcPr>
            <w:tcW w:w="1576" w:type="pct"/>
            <w:tcBorders>
              <w:bottom w:val="single" w:sz="4" w:space="0" w:color="000000"/>
            </w:tcBorders>
            <w:shd w:val="clear" w:color="auto" w:fill="D0E0E3"/>
            <w:tcMar>
              <w:top w:w="80" w:type="dxa"/>
              <w:left w:w="80" w:type="dxa"/>
              <w:bottom w:w="80" w:type="dxa"/>
              <w:right w:w="80" w:type="dxa"/>
            </w:tcMar>
          </w:tcPr>
          <w:p w14:paraId="25ABDC6F" w14:textId="6978E58F" w:rsidR="00354230" w:rsidRDefault="00354230" w:rsidP="00354230">
            <w:pPr>
              <w:spacing w:line="240" w:lineRule="auto"/>
              <w:rPr>
                <w:sz w:val="20"/>
                <w:szCs w:val="20"/>
              </w:rPr>
            </w:pPr>
            <w:r>
              <w:rPr>
                <w:sz w:val="20"/>
                <w:szCs w:val="20"/>
              </w:rPr>
              <w:t>Autism Spectrum Disorder (ASD): License Endorsement</w:t>
            </w:r>
          </w:p>
        </w:tc>
        <w:tc>
          <w:tcPr>
            <w:tcW w:w="924" w:type="pct"/>
            <w:shd w:val="clear" w:color="auto" w:fill="D0E0E3"/>
            <w:tcMar>
              <w:top w:w="80" w:type="dxa"/>
              <w:left w:w="80" w:type="dxa"/>
              <w:bottom w:w="80" w:type="dxa"/>
              <w:right w:w="80" w:type="dxa"/>
            </w:tcMar>
          </w:tcPr>
          <w:p w14:paraId="4D3456C8" w14:textId="28905F32" w:rsidR="00354230" w:rsidRDefault="00747262" w:rsidP="00354230">
            <w:pPr>
              <w:spacing w:line="240" w:lineRule="auto"/>
              <w:rPr>
                <w:sz w:val="20"/>
                <w:szCs w:val="20"/>
              </w:rPr>
            </w:pPr>
            <w:r>
              <w:rPr>
                <w:sz w:val="20"/>
                <w:szCs w:val="20"/>
              </w:rPr>
              <w:t>22</w:t>
            </w:r>
          </w:p>
        </w:tc>
        <w:tc>
          <w:tcPr>
            <w:tcW w:w="924" w:type="pct"/>
            <w:shd w:val="clear" w:color="auto" w:fill="D0E0E3"/>
            <w:tcMar>
              <w:top w:w="80" w:type="dxa"/>
              <w:left w:w="80" w:type="dxa"/>
              <w:bottom w:w="80" w:type="dxa"/>
              <w:right w:w="80" w:type="dxa"/>
            </w:tcMar>
          </w:tcPr>
          <w:p w14:paraId="6BF202EE" w14:textId="48BE6E1D" w:rsidR="00354230" w:rsidRDefault="00354230" w:rsidP="00354230">
            <w:pPr>
              <w:spacing w:line="240" w:lineRule="auto"/>
              <w:rPr>
                <w:sz w:val="20"/>
                <w:szCs w:val="20"/>
              </w:rPr>
            </w:pPr>
            <w:r>
              <w:rPr>
                <w:sz w:val="20"/>
                <w:szCs w:val="20"/>
              </w:rPr>
              <w:t>6</w:t>
            </w:r>
          </w:p>
        </w:tc>
      </w:tr>
      <w:tr w:rsidR="00354230" w14:paraId="66C97326"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3FF17664" w14:textId="1A6E96CE" w:rsidR="00354230" w:rsidRDefault="00354230" w:rsidP="00354230">
            <w:pPr>
              <w:spacing w:line="240" w:lineRule="auto"/>
              <w:rPr>
                <w:sz w:val="20"/>
                <w:szCs w:val="20"/>
              </w:rPr>
            </w:pPr>
            <w:proofErr w:type="spellStart"/>
            <w:r>
              <w:rPr>
                <w:sz w:val="20"/>
                <w:szCs w:val="20"/>
              </w:rPr>
              <w:t>FasTrack</w:t>
            </w:r>
            <w:proofErr w:type="spellEnd"/>
            <w:r>
              <w:rPr>
                <w:sz w:val="20"/>
                <w:szCs w:val="20"/>
              </w:rPr>
              <w:t>-SPED: Post-Baccalaureate</w:t>
            </w:r>
          </w:p>
        </w:tc>
        <w:tc>
          <w:tcPr>
            <w:tcW w:w="1576" w:type="pct"/>
            <w:tcBorders>
              <w:bottom w:val="single" w:sz="4" w:space="0" w:color="000000"/>
            </w:tcBorders>
            <w:shd w:val="clear" w:color="auto" w:fill="D0E0E3"/>
            <w:tcMar>
              <w:top w:w="80" w:type="dxa"/>
              <w:left w:w="80" w:type="dxa"/>
              <w:bottom w:w="80" w:type="dxa"/>
              <w:right w:w="80" w:type="dxa"/>
            </w:tcMar>
          </w:tcPr>
          <w:p w14:paraId="2D57AC4D" w14:textId="19946619" w:rsidR="00354230" w:rsidRDefault="00354230" w:rsidP="00354230">
            <w:pPr>
              <w:spacing w:line="240" w:lineRule="auto"/>
              <w:rPr>
                <w:sz w:val="20"/>
                <w:szCs w:val="20"/>
              </w:rPr>
            </w:pPr>
            <w:r>
              <w:rPr>
                <w:sz w:val="20"/>
                <w:szCs w:val="20"/>
              </w:rPr>
              <w:t>Education Behavioral Disorder (EBD): License Endorsement</w:t>
            </w:r>
          </w:p>
        </w:tc>
        <w:tc>
          <w:tcPr>
            <w:tcW w:w="924" w:type="pct"/>
            <w:shd w:val="clear" w:color="auto" w:fill="D0E0E3"/>
            <w:tcMar>
              <w:top w:w="80" w:type="dxa"/>
              <w:left w:w="80" w:type="dxa"/>
              <w:bottom w:w="80" w:type="dxa"/>
              <w:right w:w="80" w:type="dxa"/>
            </w:tcMar>
          </w:tcPr>
          <w:p w14:paraId="1779D4E0" w14:textId="4BBB585B" w:rsidR="00354230" w:rsidRDefault="00354230" w:rsidP="00354230">
            <w:pPr>
              <w:spacing w:line="240" w:lineRule="auto"/>
              <w:rPr>
                <w:sz w:val="20"/>
                <w:szCs w:val="20"/>
              </w:rPr>
            </w:pPr>
            <w:r>
              <w:rPr>
                <w:sz w:val="20"/>
                <w:szCs w:val="20"/>
              </w:rPr>
              <w:t>28</w:t>
            </w:r>
          </w:p>
        </w:tc>
        <w:tc>
          <w:tcPr>
            <w:tcW w:w="924" w:type="pct"/>
            <w:shd w:val="clear" w:color="auto" w:fill="D0E0E3"/>
            <w:tcMar>
              <w:top w:w="80" w:type="dxa"/>
              <w:left w:w="80" w:type="dxa"/>
              <w:bottom w:w="80" w:type="dxa"/>
              <w:right w:w="80" w:type="dxa"/>
            </w:tcMar>
          </w:tcPr>
          <w:p w14:paraId="37E8531E" w14:textId="4C93309E" w:rsidR="00354230" w:rsidRPr="00CB6BCC" w:rsidRDefault="00354230" w:rsidP="00354230">
            <w:pPr>
              <w:spacing w:line="240" w:lineRule="auto"/>
              <w:rPr>
                <w:sz w:val="20"/>
                <w:szCs w:val="20"/>
              </w:rPr>
            </w:pPr>
            <w:r>
              <w:rPr>
                <w:sz w:val="20"/>
                <w:szCs w:val="20"/>
              </w:rPr>
              <w:t>5</w:t>
            </w:r>
          </w:p>
        </w:tc>
      </w:tr>
      <w:tr w:rsidR="00354230" w14:paraId="0C7EC989"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5D468042" w14:textId="0B196ECE" w:rsidR="00354230" w:rsidRDefault="00354230" w:rsidP="00354230">
            <w:pPr>
              <w:spacing w:line="240" w:lineRule="auto"/>
              <w:rPr>
                <w:sz w:val="20"/>
                <w:szCs w:val="20"/>
              </w:rPr>
            </w:pPr>
            <w:proofErr w:type="spellStart"/>
            <w:r w:rsidRPr="008162E5">
              <w:rPr>
                <w:sz w:val="20"/>
                <w:szCs w:val="20"/>
              </w:rPr>
              <w:t>FasTrack</w:t>
            </w:r>
            <w:proofErr w:type="spellEnd"/>
            <w:r w:rsidRPr="008162E5">
              <w:rPr>
                <w:sz w:val="20"/>
                <w:szCs w:val="20"/>
              </w:rPr>
              <w:t>-SPED: Post-Baccalaureate</w:t>
            </w:r>
          </w:p>
        </w:tc>
        <w:tc>
          <w:tcPr>
            <w:tcW w:w="1576" w:type="pct"/>
            <w:tcBorders>
              <w:bottom w:val="single" w:sz="4" w:space="0" w:color="000000"/>
            </w:tcBorders>
            <w:shd w:val="clear" w:color="auto" w:fill="D0E0E3"/>
            <w:tcMar>
              <w:top w:w="80" w:type="dxa"/>
              <w:left w:w="80" w:type="dxa"/>
              <w:bottom w:w="80" w:type="dxa"/>
              <w:right w:w="80" w:type="dxa"/>
            </w:tcMar>
          </w:tcPr>
          <w:p w14:paraId="74B35BC9" w14:textId="070E2784" w:rsidR="00354230" w:rsidRDefault="00354230" w:rsidP="00354230">
            <w:pPr>
              <w:spacing w:line="240" w:lineRule="auto"/>
              <w:rPr>
                <w:sz w:val="20"/>
                <w:szCs w:val="20"/>
              </w:rPr>
            </w:pPr>
            <w:r>
              <w:rPr>
                <w:sz w:val="20"/>
                <w:szCs w:val="20"/>
              </w:rPr>
              <w:t>Specific Learning Disability (SLD): License Endorsement</w:t>
            </w:r>
          </w:p>
        </w:tc>
        <w:tc>
          <w:tcPr>
            <w:tcW w:w="924" w:type="pct"/>
            <w:shd w:val="clear" w:color="auto" w:fill="D0E0E3"/>
            <w:tcMar>
              <w:top w:w="80" w:type="dxa"/>
              <w:left w:w="80" w:type="dxa"/>
              <w:bottom w:w="80" w:type="dxa"/>
              <w:right w:w="80" w:type="dxa"/>
            </w:tcMar>
          </w:tcPr>
          <w:p w14:paraId="1FD518DF" w14:textId="3675CB1E" w:rsidR="00354230" w:rsidRDefault="00354230" w:rsidP="00354230">
            <w:pPr>
              <w:spacing w:line="240" w:lineRule="auto"/>
              <w:rPr>
                <w:sz w:val="20"/>
                <w:szCs w:val="20"/>
              </w:rPr>
            </w:pPr>
            <w:r>
              <w:rPr>
                <w:sz w:val="20"/>
                <w:szCs w:val="20"/>
              </w:rPr>
              <w:t>31</w:t>
            </w:r>
          </w:p>
        </w:tc>
        <w:tc>
          <w:tcPr>
            <w:tcW w:w="924" w:type="pct"/>
            <w:shd w:val="clear" w:color="auto" w:fill="D0E0E3"/>
            <w:tcMar>
              <w:top w:w="80" w:type="dxa"/>
              <w:left w:w="80" w:type="dxa"/>
              <w:bottom w:w="80" w:type="dxa"/>
              <w:right w:w="80" w:type="dxa"/>
            </w:tcMar>
          </w:tcPr>
          <w:p w14:paraId="4D27D763" w14:textId="45BCEE52" w:rsidR="00354230" w:rsidRPr="00CB6BCC" w:rsidRDefault="00354230" w:rsidP="00354230">
            <w:pPr>
              <w:spacing w:line="240" w:lineRule="auto"/>
              <w:rPr>
                <w:sz w:val="20"/>
                <w:szCs w:val="20"/>
              </w:rPr>
            </w:pPr>
            <w:r>
              <w:rPr>
                <w:sz w:val="20"/>
                <w:szCs w:val="20"/>
              </w:rPr>
              <w:t>9</w:t>
            </w:r>
          </w:p>
        </w:tc>
      </w:tr>
      <w:tr w:rsidR="00354230" w14:paraId="6AAA2AAF"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123D92DD" w14:textId="16987DA5" w:rsidR="00354230" w:rsidRPr="008162E5" w:rsidRDefault="00354230" w:rsidP="00354230">
            <w:pPr>
              <w:spacing w:line="240" w:lineRule="auto"/>
              <w:rPr>
                <w:sz w:val="20"/>
                <w:szCs w:val="20"/>
              </w:rPr>
            </w:pPr>
            <w:r>
              <w:rPr>
                <w:sz w:val="20"/>
                <w:szCs w:val="20"/>
              </w:rPr>
              <w:t>Special Education: Post-Baccalaureate</w:t>
            </w:r>
          </w:p>
        </w:tc>
        <w:tc>
          <w:tcPr>
            <w:tcW w:w="1576" w:type="pct"/>
            <w:tcBorders>
              <w:bottom w:val="single" w:sz="4" w:space="0" w:color="000000"/>
            </w:tcBorders>
            <w:shd w:val="clear" w:color="auto" w:fill="D0E0E3"/>
            <w:tcMar>
              <w:top w:w="80" w:type="dxa"/>
              <w:left w:w="80" w:type="dxa"/>
              <w:bottom w:w="80" w:type="dxa"/>
              <w:right w:w="80" w:type="dxa"/>
            </w:tcMar>
          </w:tcPr>
          <w:p w14:paraId="5F37EC18" w14:textId="1FDC0674" w:rsidR="00354230" w:rsidRDefault="00354230" w:rsidP="00354230">
            <w:pPr>
              <w:spacing w:line="240" w:lineRule="auto"/>
              <w:rPr>
                <w:sz w:val="20"/>
                <w:szCs w:val="20"/>
              </w:rPr>
            </w:pPr>
            <w:r>
              <w:rPr>
                <w:sz w:val="20"/>
                <w:szCs w:val="20"/>
              </w:rPr>
              <w:t>Special Education License</w:t>
            </w:r>
          </w:p>
        </w:tc>
        <w:tc>
          <w:tcPr>
            <w:tcW w:w="924" w:type="pct"/>
            <w:shd w:val="clear" w:color="auto" w:fill="D0E0E3"/>
            <w:tcMar>
              <w:top w:w="80" w:type="dxa"/>
              <w:left w:w="80" w:type="dxa"/>
              <w:bottom w:w="80" w:type="dxa"/>
              <w:right w:w="80" w:type="dxa"/>
            </w:tcMar>
          </w:tcPr>
          <w:p w14:paraId="7F693D51" w14:textId="5F77DB5B" w:rsidR="00354230" w:rsidRDefault="00354230" w:rsidP="00354230">
            <w:pPr>
              <w:spacing w:line="240" w:lineRule="auto"/>
              <w:rPr>
                <w:sz w:val="20"/>
                <w:szCs w:val="20"/>
              </w:rPr>
            </w:pPr>
            <w:r>
              <w:rPr>
                <w:sz w:val="20"/>
                <w:szCs w:val="20"/>
              </w:rPr>
              <w:t>65</w:t>
            </w:r>
          </w:p>
        </w:tc>
        <w:tc>
          <w:tcPr>
            <w:tcW w:w="924" w:type="pct"/>
            <w:shd w:val="clear" w:color="auto" w:fill="D0E0E3"/>
            <w:tcMar>
              <w:top w:w="80" w:type="dxa"/>
              <w:left w:w="80" w:type="dxa"/>
              <w:bottom w:w="80" w:type="dxa"/>
              <w:right w:w="80" w:type="dxa"/>
            </w:tcMar>
          </w:tcPr>
          <w:p w14:paraId="03623C26" w14:textId="7E827BC7" w:rsidR="00354230" w:rsidRPr="00CB6BCC" w:rsidRDefault="00354230" w:rsidP="00354230">
            <w:pPr>
              <w:spacing w:line="240" w:lineRule="auto"/>
              <w:rPr>
                <w:sz w:val="20"/>
                <w:szCs w:val="20"/>
              </w:rPr>
            </w:pPr>
            <w:r>
              <w:rPr>
                <w:sz w:val="20"/>
                <w:szCs w:val="20"/>
              </w:rPr>
              <w:t>22</w:t>
            </w:r>
          </w:p>
        </w:tc>
      </w:tr>
      <w:tr w:rsidR="00354230" w14:paraId="323DD96E"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301CC8CD" w14:textId="189F19F4" w:rsidR="00354230" w:rsidRDefault="00354230" w:rsidP="00354230">
            <w:pPr>
              <w:spacing w:line="240" w:lineRule="auto"/>
              <w:rPr>
                <w:sz w:val="20"/>
                <w:szCs w:val="20"/>
              </w:rPr>
            </w:pPr>
            <w:r w:rsidRPr="001641B4">
              <w:rPr>
                <w:sz w:val="20"/>
                <w:szCs w:val="20"/>
              </w:rPr>
              <w:t>Special Education: Post-Baccalaureate</w:t>
            </w:r>
          </w:p>
        </w:tc>
        <w:tc>
          <w:tcPr>
            <w:tcW w:w="1576" w:type="pct"/>
            <w:tcBorders>
              <w:bottom w:val="single" w:sz="4" w:space="0" w:color="000000"/>
            </w:tcBorders>
            <w:shd w:val="clear" w:color="auto" w:fill="D0E0E3"/>
            <w:tcMar>
              <w:top w:w="80" w:type="dxa"/>
              <w:left w:w="80" w:type="dxa"/>
              <w:bottom w:w="80" w:type="dxa"/>
              <w:right w:w="80" w:type="dxa"/>
            </w:tcMar>
          </w:tcPr>
          <w:p w14:paraId="5B502674" w14:textId="0B6E4E26" w:rsidR="00354230" w:rsidRDefault="00354230" w:rsidP="00354230">
            <w:pPr>
              <w:spacing w:line="240" w:lineRule="auto"/>
              <w:rPr>
                <w:sz w:val="20"/>
                <w:szCs w:val="20"/>
              </w:rPr>
            </w:pPr>
            <w:r>
              <w:rPr>
                <w:sz w:val="20"/>
                <w:szCs w:val="20"/>
              </w:rPr>
              <w:t>Autism Spectrum Disorder (ASD): License Endorsement</w:t>
            </w:r>
          </w:p>
        </w:tc>
        <w:tc>
          <w:tcPr>
            <w:tcW w:w="924" w:type="pct"/>
            <w:shd w:val="clear" w:color="auto" w:fill="D0E0E3"/>
            <w:tcMar>
              <w:top w:w="80" w:type="dxa"/>
              <w:left w:w="80" w:type="dxa"/>
              <w:bottom w:w="80" w:type="dxa"/>
              <w:right w:w="80" w:type="dxa"/>
            </w:tcMar>
          </w:tcPr>
          <w:p w14:paraId="2CE02302" w14:textId="21BB18FC" w:rsidR="00354230" w:rsidRDefault="00354230" w:rsidP="00354230">
            <w:pPr>
              <w:spacing w:line="240" w:lineRule="auto"/>
              <w:rPr>
                <w:sz w:val="20"/>
                <w:szCs w:val="20"/>
              </w:rPr>
            </w:pPr>
            <w:r>
              <w:rPr>
                <w:sz w:val="20"/>
                <w:szCs w:val="20"/>
              </w:rPr>
              <w:t>15</w:t>
            </w:r>
          </w:p>
        </w:tc>
        <w:tc>
          <w:tcPr>
            <w:tcW w:w="924" w:type="pct"/>
            <w:shd w:val="clear" w:color="auto" w:fill="D0E0E3"/>
            <w:tcMar>
              <w:top w:w="80" w:type="dxa"/>
              <w:left w:w="80" w:type="dxa"/>
              <w:bottom w:w="80" w:type="dxa"/>
              <w:right w:w="80" w:type="dxa"/>
            </w:tcMar>
          </w:tcPr>
          <w:p w14:paraId="2DABC8A9" w14:textId="6ED36FCF" w:rsidR="00354230" w:rsidRPr="00CB6BCC" w:rsidRDefault="00354230" w:rsidP="00354230">
            <w:pPr>
              <w:spacing w:line="240" w:lineRule="auto"/>
              <w:rPr>
                <w:sz w:val="20"/>
                <w:szCs w:val="20"/>
              </w:rPr>
            </w:pPr>
            <w:r>
              <w:rPr>
                <w:sz w:val="20"/>
                <w:szCs w:val="20"/>
              </w:rPr>
              <w:t>4</w:t>
            </w:r>
          </w:p>
        </w:tc>
      </w:tr>
      <w:tr w:rsidR="00354230" w14:paraId="1CEB1F30"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0A4F7EE1" w14:textId="2AB3590B" w:rsidR="00354230" w:rsidRDefault="00354230" w:rsidP="00354230">
            <w:pPr>
              <w:spacing w:line="240" w:lineRule="auto"/>
              <w:rPr>
                <w:sz w:val="20"/>
                <w:szCs w:val="20"/>
              </w:rPr>
            </w:pPr>
            <w:r w:rsidRPr="001641B4">
              <w:rPr>
                <w:sz w:val="20"/>
                <w:szCs w:val="20"/>
              </w:rPr>
              <w:t>Special Education: Post-Baccalaureate</w:t>
            </w:r>
          </w:p>
        </w:tc>
        <w:tc>
          <w:tcPr>
            <w:tcW w:w="1576" w:type="pct"/>
            <w:tcBorders>
              <w:bottom w:val="single" w:sz="4" w:space="0" w:color="000000"/>
            </w:tcBorders>
            <w:shd w:val="clear" w:color="auto" w:fill="D0E0E3"/>
            <w:tcMar>
              <w:top w:w="80" w:type="dxa"/>
              <w:left w:w="80" w:type="dxa"/>
              <w:bottom w:w="80" w:type="dxa"/>
              <w:right w:w="80" w:type="dxa"/>
            </w:tcMar>
          </w:tcPr>
          <w:p w14:paraId="26C33F14" w14:textId="35402C9C" w:rsidR="00354230" w:rsidRDefault="00354230" w:rsidP="00354230">
            <w:pPr>
              <w:spacing w:line="240" w:lineRule="auto"/>
              <w:rPr>
                <w:sz w:val="20"/>
                <w:szCs w:val="20"/>
              </w:rPr>
            </w:pPr>
            <w:r>
              <w:rPr>
                <w:sz w:val="20"/>
                <w:szCs w:val="20"/>
              </w:rPr>
              <w:t>Education Behavioral Disorder (EBD): License Endorsement</w:t>
            </w:r>
          </w:p>
        </w:tc>
        <w:tc>
          <w:tcPr>
            <w:tcW w:w="924" w:type="pct"/>
            <w:shd w:val="clear" w:color="auto" w:fill="D0E0E3"/>
            <w:tcMar>
              <w:top w:w="80" w:type="dxa"/>
              <w:left w:w="80" w:type="dxa"/>
              <w:bottom w:w="80" w:type="dxa"/>
              <w:right w:w="80" w:type="dxa"/>
            </w:tcMar>
          </w:tcPr>
          <w:p w14:paraId="2B57A4BB" w14:textId="02D53AE0" w:rsidR="00354230" w:rsidRDefault="00354230" w:rsidP="00354230">
            <w:pPr>
              <w:spacing w:line="240" w:lineRule="auto"/>
              <w:rPr>
                <w:sz w:val="20"/>
                <w:szCs w:val="20"/>
              </w:rPr>
            </w:pPr>
            <w:r>
              <w:rPr>
                <w:sz w:val="20"/>
                <w:szCs w:val="20"/>
              </w:rPr>
              <w:t>18</w:t>
            </w:r>
          </w:p>
        </w:tc>
        <w:tc>
          <w:tcPr>
            <w:tcW w:w="924" w:type="pct"/>
            <w:shd w:val="clear" w:color="auto" w:fill="D0E0E3"/>
            <w:tcMar>
              <w:top w:w="80" w:type="dxa"/>
              <w:left w:w="80" w:type="dxa"/>
              <w:bottom w:w="80" w:type="dxa"/>
              <w:right w:w="80" w:type="dxa"/>
            </w:tcMar>
          </w:tcPr>
          <w:p w14:paraId="5C5751D4" w14:textId="40755568" w:rsidR="00354230" w:rsidRPr="00CB6BCC" w:rsidRDefault="00354230" w:rsidP="00354230">
            <w:pPr>
              <w:spacing w:line="240" w:lineRule="auto"/>
              <w:rPr>
                <w:sz w:val="20"/>
                <w:szCs w:val="20"/>
              </w:rPr>
            </w:pPr>
            <w:r>
              <w:rPr>
                <w:sz w:val="20"/>
                <w:szCs w:val="20"/>
              </w:rPr>
              <w:t>5</w:t>
            </w:r>
          </w:p>
        </w:tc>
      </w:tr>
      <w:tr w:rsidR="00354230" w14:paraId="3793CD99"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4A591050" w14:textId="3D6BC5B3" w:rsidR="00354230" w:rsidRDefault="00354230" w:rsidP="00354230">
            <w:pPr>
              <w:spacing w:line="240" w:lineRule="auto"/>
              <w:rPr>
                <w:sz w:val="20"/>
                <w:szCs w:val="20"/>
              </w:rPr>
            </w:pPr>
            <w:r w:rsidRPr="001641B4">
              <w:rPr>
                <w:sz w:val="20"/>
                <w:szCs w:val="20"/>
              </w:rPr>
              <w:t>Special Education: Post-Baccalaureate</w:t>
            </w:r>
          </w:p>
        </w:tc>
        <w:tc>
          <w:tcPr>
            <w:tcW w:w="1576" w:type="pct"/>
            <w:tcBorders>
              <w:bottom w:val="single" w:sz="4" w:space="0" w:color="000000"/>
            </w:tcBorders>
            <w:shd w:val="clear" w:color="auto" w:fill="D0E0E3"/>
            <w:tcMar>
              <w:top w:w="80" w:type="dxa"/>
              <w:left w:w="80" w:type="dxa"/>
              <w:bottom w:w="80" w:type="dxa"/>
              <w:right w:w="80" w:type="dxa"/>
            </w:tcMar>
          </w:tcPr>
          <w:p w14:paraId="55D3A3C1" w14:textId="79FC2F77" w:rsidR="00354230" w:rsidRDefault="00354230" w:rsidP="00354230">
            <w:pPr>
              <w:spacing w:line="240" w:lineRule="auto"/>
              <w:rPr>
                <w:sz w:val="20"/>
                <w:szCs w:val="20"/>
              </w:rPr>
            </w:pPr>
            <w:r>
              <w:rPr>
                <w:sz w:val="20"/>
                <w:szCs w:val="20"/>
              </w:rPr>
              <w:t>Specific Learning Disability (SLD): License Endorsement</w:t>
            </w:r>
          </w:p>
        </w:tc>
        <w:tc>
          <w:tcPr>
            <w:tcW w:w="924" w:type="pct"/>
            <w:shd w:val="clear" w:color="auto" w:fill="D0E0E3"/>
            <w:tcMar>
              <w:top w:w="80" w:type="dxa"/>
              <w:left w:w="80" w:type="dxa"/>
              <w:bottom w:w="80" w:type="dxa"/>
              <w:right w:w="80" w:type="dxa"/>
            </w:tcMar>
          </w:tcPr>
          <w:p w14:paraId="333E0306" w14:textId="451711F2" w:rsidR="00354230" w:rsidRDefault="00354230" w:rsidP="00354230">
            <w:pPr>
              <w:spacing w:line="240" w:lineRule="auto"/>
              <w:rPr>
                <w:sz w:val="20"/>
                <w:szCs w:val="20"/>
              </w:rPr>
            </w:pPr>
            <w:r>
              <w:rPr>
                <w:sz w:val="20"/>
                <w:szCs w:val="20"/>
              </w:rPr>
              <w:t>20</w:t>
            </w:r>
          </w:p>
        </w:tc>
        <w:tc>
          <w:tcPr>
            <w:tcW w:w="924" w:type="pct"/>
            <w:shd w:val="clear" w:color="auto" w:fill="D0E0E3"/>
            <w:tcMar>
              <w:top w:w="80" w:type="dxa"/>
              <w:left w:w="80" w:type="dxa"/>
              <w:bottom w:w="80" w:type="dxa"/>
              <w:right w:w="80" w:type="dxa"/>
            </w:tcMar>
          </w:tcPr>
          <w:p w14:paraId="6D06C3D6" w14:textId="705A3E56" w:rsidR="00354230" w:rsidRPr="00CB6BCC" w:rsidRDefault="00354230" w:rsidP="00354230">
            <w:pPr>
              <w:spacing w:line="240" w:lineRule="auto"/>
              <w:rPr>
                <w:sz w:val="20"/>
                <w:szCs w:val="20"/>
              </w:rPr>
            </w:pPr>
            <w:r>
              <w:rPr>
                <w:sz w:val="20"/>
                <w:szCs w:val="20"/>
              </w:rPr>
              <w:t>7</w:t>
            </w:r>
          </w:p>
        </w:tc>
      </w:tr>
      <w:tr w:rsidR="00354230" w14:paraId="4E69EA2C"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75EBCB7F" w14:textId="117FA0F0" w:rsidR="00354230" w:rsidRPr="001641B4" w:rsidRDefault="00354230" w:rsidP="00354230">
            <w:pPr>
              <w:spacing w:line="240" w:lineRule="auto"/>
              <w:rPr>
                <w:sz w:val="20"/>
                <w:szCs w:val="20"/>
              </w:rPr>
            </w:pPr>
            <w:r>
              <w:rPr>
                <w:sz w:val="20"/>
                <w:szCs w:val="20"/>
              </w:rPr>
              <w:t>Special Education: Certificate Only</w:t>
            </w:r>
          </w:p>
        </w:tc>
        <w:tc>
          <w:tcPr>
            <w:tcW w:w="1576" w:type="pct"/>
            <w:tcBorders>
              <w:bottom w:val="single" w:sz="4" w:space="0" w:color="000000"/>
            </w:tcBorders>
            <w:shd w:val="clear" w:color="auto" w:fill="D0E0E3"/>
            <w:tcMar>
              <w:top w:w="80" w:type="dxa"/>
              <w:left w:w="80" w:type="dxa"/>
              <w:bottom w:w="80" w:type="dxa"/>
              <w:right w:w="80" w:type="dxa"/>
            </w:tcMar>
          </w:tcPr>
          <w:p w14:paraId="71EACA55" w14:textId="522745A2" w:rsidR="00354230" w:rsidRDefault="00354230" w:rsidP="00354230">
            <w:pPr>
              <w:spacing w:line="240" w:lineRule="auto"/>
              <w:rPr>
                <w:sz w:val="20"/>
                <w:szCs w:val="20"/>
              </w:rPr>
            </w:pPr>
            <w:r>
              <w:rPr>
                <w:sz w:val="20"/>
                <w:szCs w:val="20"/>
              </w:rPr>
              <w:t>Autism Spectrum Disorder (ASD): Certificate</w:t>
            </w:r>
          </w:p>
        </w:tc>
        <w:tc>
          <w:tcPr>
            <w:tcW w:w="924" w:type="pct"/>
            <w:shd w:val="clear" w:color="auto" w:fill="D0E0E3"/>
            <w:tcMar>
              <w:top w:w="80" w:type="dxa"/>
              <w:left w:w="80" w:type="dxa"/>
              <w:bottom w:w="80" w:type="dxa"/>
              <w:right w:w="80" w:type="dxa"/>
            </w:tcMar>
          </w:tcPr>
          <w:p w14:paraId="5761212E" w14:textId="48069E8B" w:rsidR="00354230" w:rsidRDefault="00354230" w:rsidP="00354230">
            <w:pPr>
              <w:spacing w:line="240" w:lineRule="auto"/>
              <w:rPr>
                <w:sz w:val="20"/>
                <w:szCs w:val="20"/>
              </w:rPr>
            </w:pPr>
            <w:r>
              <w:rPr>
                <w:sz w:val="20"/>
                <w:szCs w:val="20"/>
              </w:rPr>
              <w:t>16</w:t>
            </w:r>
          </w:p>
        </w:tc>
        <w:tc>
          <w:tcPr>
            <w:tcW w:w="924" w:type="pct"/>
            <w:shd w:val="clear" w:color="auto" w:fill="D0E0E3"/>
            <w:tcMar>
              <w:top w:w="80" w:type="dxa"/>
              <w:left w:w="80" w:type="dxa"/>
              <w:bottom w:w="80" w:type="dxa"/>
              <w:right w:w="80" w:type="dxa"/>
            </w:tcMar>
          </w:tcPr>
          <w:p w14:paraId="4442B6C1" w14:textId="511654FD" w:rsidR="00354230" w:rsidRPr="00CB6BCC" w:rsidRDefault="00354230" w:rsidP="00354230">
            <w:pPr>
              <w:spacing w:line="240" w:lineRule="auto"/>
              <w:rPr>
                <w:sz w:val="20"/>
                <w:szCs w:val="20"/>
              </w:rPr>
            </w:pPr>
            <w:r>
              <w:rPr>
                <w:sz w:val="20"/>
                <w:szCs w:val="20"/>
              </w:rPr>
              <w:t>4</w:t>
            </w:r>
          </w:p>
        </w:tc>
      </w:tr>
      <w:tr w:rsidR="00354230" w14:paraId="5744F678"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586C7ACA" w14:textId="3EEA554F" w:rsidR="00354230" w:rsidRPr="001641B4" w:rsidRDefault="00354230" w:rsidP="00354230">
            <w:pPr>
              <w:spacing w:line="240" w:lineRule="auto"/>
              <w:rPr>
                <w:sz w:val="20"/>
                <w:szCs w:val="20"/>
              </w:rPr>
            </w:pPr>
            <w:r w:rsidRPr="00835BCF">
              <w:rPr>
                <w:sz w:val="20"/>
                <w:szCs w:val="20"/>
              </w:rPr>
              <w:t>Special Education: Certificate Only</w:t>
            </w:r>
          </w:p>
        </w:tc>
        <w:tc>
          <w:tcPr>
            <w:tcW w:w="1576" w:type="pct"/>
            <w:tcBorders>
              <w:bottom w:val="single" w:sz="4" w:space="0" w:color="000000"/>
            </w:tcBorders>
            <w:shd w:val="clear" w:color="auto" w:fill="D0E0E3"/>
            <w:tcMar>
              <w:top w:w="80" w:type="dxa"/>
              <w:left w:w="80" w:type="dxa"/>
              <w:bottom w:w="80" w:type="dxa"/>
              <w:right w:w="80" w:type="dxa"/>
            </w:tcMar>
          </w:tcPr>
          <w:p w14:paraId="54AF7006" w14:textId="4B93D7A5" w:rsidR="00354230" w:rsidRDefault="00354230" w:rsidP="00354230">
            <w:pPr>
              <w:spacing w:line="240" w:lineRule="auto"/>
              <w:rPr>
                <w:sz w:val="20"/>
                <w:szCs w:val="20"/>
              </w:rPr>
            </w:pPr>
            <w:r>
              <w:rPr>
                <w:sz w:val="20"/>
                <w:szCs w:val="20"/>
              </w:rPr>
              <w:t>Education Behavioral Disorder (EBD): Certificate</w:t>
            </w:r>
          </w:p>
        </w:tc>
        <w:tc>
          <w:tcPr>
            <w:tcW w:w="924" w:type="pct"/>
            <w:shd w:val="clear" w:color="auto" w:fill="D0E0E3"/>
            <w:tcMar>
              <w:top w:w="80" w:type="dxa"/>
              <w:left w:w="80" w:type="dxa"/>
              <w:bottom w:w="80" w:type="dxa"/>
              <w:right w:w="80" w:type="dxa"/>
            </w:tcMar>
          </w:tcPr>
          <w:p w14:paraId="69696B72" w14:textId="46C2E745" w:rsidR="00354230" w:rsidRDefault="00354230" w:rsidP="00354230">
            <w:pPr>
              <w:spacing w:line="240" w:lineRule="auto"/>
              <w:rPr>
                <w:sz w:val="20"/>
                <w:szCs w:val="20"/>
              </w:rPr>
            </w:pPr>
            <w:r>
              <w:rPr>
                <w:sz w:val="20"/>
                <w:szCs w:val="20"/>
              </w:rPr>
              <w:t>17</w:t>
            </w:r>
          </w:p>
        </w:tc>
        <w:tc>
          <w:tcPr>
            <w:tcW w:w="924" w:type="pct"/>
            <w:shd w:val="clear" w:color="auto" w:fill="D0E0E3"/>
            <w:tcMar>
              <w:top w:w="80" w:type="dxa"/>
              <w:left w:w="80" w:type="dxa"/>
              <w:bottom w:w="80" w:type="dxa"/>
              <w:right w:w="80" w:type="dxa"/>
            </w:tcMar>
          </w:tcPr>
          <w:p w14:paraId="0C4BE961" w14:textId="60C74F8A" w:rsidR="00354230" w:rsidRPr="00CB6BCC" w:rsidRDefault="00354230" w:rsidP="00354230">
            <w:pPr>
              <w:spacing w:line="240" w:lineRule="auto"/>
              <w:rPr>
                <w:sz w:val="20"/>
                <w:szCs w:val="20"/>
              </w:rPr>
            </w:pPr>
            <w:r>
              <w:rPr>
                <w:sz w:val="20"/>
                <w:szCs w:val="20"/>
              </w:rPr>
              <w:t>7</w:t>
            </w:r>
          </w:p>
        </w:tc>
      </w:tr>
      <w:tr w:rsidR="00354230" w14:paraId="2A26699C"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1068B47A" w14:textId="3ED78879" w:rsidR="00354230" w:rsidRPr="001641B4" w:rsidRDefault="00354230" w:rsidP="00354230">
            <w:pPr>
              <w:spacing w:line="240" w:lineRule="auto"/>
              <w:rPr>
                <w:sz w:val="20"/>
                <w:szCs w:val="20"/>
              </w:rPr>
            </w:pPr>
            <w:r w:rsidRPr="00835BCF">
              <w:rPr>
                <w:sz w:val="20"/>
                <w:szCs w:val="20"/>
              </w:rPr>
              <w:t>Special Education: Certificate Only</w:t>
            </w:r>
          </w:p>
        </w:tc>
        <w:tc>
          <w:tcPr>
            <w:tcW w:w="1576" w:type="pct"/>
            <w:tcBorders>
              <w:bottom w:val="single" w:sz="4" w:space="0" w:color="000000"/>
            </w:tcBorders>
            <w:shd w:val="clear" w:color="auto" w:fill="D0E0E3"/>
            <w:tcMar>
              <w:top w:w="80" w:type="dxa"/>
              <w:left w:w="80" w:type="dxa"/>
              <w:bottom w:w="80" w:type="dxa"/>
              <w:right w:w="80" w:type="dxa"/>
            </w:tcMar>
          </w:tcPr>
          <w:p w14:paraId="1BE06B43" w14:textId="36A5A316" w:rsidR="00354230" w:rsidRDefault="00354230" w:rsidP="00354230">
            <w:pPr>
              <w:spacing w:line="240" w:lineRule="auto"/>
              <w:rPr>
                <w:sz w:val="20"/>
                <w:szCs w:val="20"/>
              </w:rPr>
            </w:pPr>
            <w:r>
              <w:rPr>
                <w:sz w:val="20"/>
                <w:szCs w:val="20"/>
              </w:rPr>
              <w:t>Specific Learning Disability (SLD): Certificate</w:t>
            </w:r>
          </w:p>
        </w:tc>
        <w:tc>
          <w:tcPr>
            <w:tcW w:w="924" w:type="pct"/>
            <w:shd w:val="clear" w:color="auto" w:fill="D0E0E3"/>
            <w:tcMar>
              <w:top w:w="80" w:type="dxa"/>
              <w:left w:w="80" w:type="dxa"/>
              <w:bottom w:w="80" w:type="dxa"/>
              <w:right w:w="80" w:type="dxa"/>
            </w:tcMar>
          </w:tcPr>
          <w:p w14:paraId="0B7FB2FF" w14:textId="2FCD0AC6" w:rsidR="00354230" w:rsidRDefault="00354230" w:rsidP="00354230">
            <w:pPr>
              <w:spacing w:line="240" w:lineRule="auto"/>
              <w:rPr>
                <w:sz w:val="20"/>
                <w:szCs w:val="20"/>
              </w:rPr>
            </w:pPr>
            <w:r>
              <w:rPr>
                <w:sz w:val="20"/>
                <w:szCs w:val="20"/>
              </w:rPr>
              <w:t>21</w:t>
            </w:r>
          </w:p>
        </w:tc>
        <w:tc>
          <w:tcPr>
            <w:tcW w:w="924" w:type="pct"/>
            <w:shd w:val="clear" w:color="auto" w:fill="D0E0E3"/>
            <w:tcMar>
              <w:top w:w="80" w:type="dxa"/>
              <w:left w:w="80" w:type="dxa"/>
              <w:bottom w:w="80" w:type="dxa"/>
              <w:right w:w="80" w:type="dxa"/>
            </w:tcMar>
          </w:tcPr>
          <w:p w14:paraId="3D02A951" w14:textId="594354F9" w:rsidR="00354230" w:rsidRPr="00CB6BCC" w:rsidRDefault="00354230" w:rsidP="00354230">
            <w:pPr>
              <w:spacing w:line="240" w:lineRule="auto"/>
              <w:rPr>
                <w:sz w:val="20"/>
                <w:szCs w:val="20"/>
              </w:rPr>
            </w:pPr>
            <w:r>
              <w:rPr>
                <w:sz w:val="20"/>
                <w:szCs w:val="20"/>
              </w:rPr>
              <w:t>5</w:t>
            </w:r>
          </w:p>
        </w:tc>
      </w:tr>
      <w:tr w:rsidR="00354230" w14:paraId="42A1C879" w14:textId="77777777" w:rsidTr="005607CB">
        <w:trPr>
          <w:trHeight w:val="441"/>
        </w:trPr>
        <w:tc>
          <w:tcPr>
            <w:tcW w:w="1576" w:type="pct"/>
            <w:tcBorders>
              <w:bottom w:val="single" w:sz="4" w:space="0" w:color="000000"/>
            </w:tcBorders>
            <w:shd w:val="clear" w:color="auto" w:fill="D0E0E3"/>
            <w:tcMar>
              <w:top w:w="80" w:type="dxa"/>
              <w:left w:w="80" w:type="dxa"/>
              <w:bottom w:w="80" w:type="dxa"/>
              <w:right w:w="80" w:type="dxa"/>
            </w:tcMar>
          </w:tcPr>
          <w:p w14:paraId="3C43DFD6" w14:textId="0721E3F9" w:rsidR="00354230" w:rsidRPr="00835BCF" w:rsidRDefault="00354230" w:rsidP="00354230">
            <w:pPr>
              <w:spacing w:line="240" w:lineRule="auto"/>
              <w:rPr>
                <w:sz w:val="20"/>
                <w:szCs w:val="20"/>
              </w:rPr>
            </w:pPr>
            <w:r>
              <w:rPr>
                <w:sz w:val="20"/>
                <w:szCs w:val="20"/>
              </w:rPr>
              <w:t>Health Certificate</w:t>
            </w:r>
          </w:p>
        </w:tc>
        <w:tc>
          <w:tcPr>
            <w:tcW w:w="1576" w:type="pct"/>
            <w:tcBorders>
              <w:bottom w:val="single" w:sz="4" w:space="0" w:color="000000"/>
            </w:tcBorders>
            <w:shd w:val="clear" w:color="auto" w:fill="D0E0E3"/>
            <w:tcMar>
              <w:top w:w="80" w:type="dxa"/>
              <w:left w:w="80" w:type="dxa"/>
              <w:bottom w:w="80" w:type="dxa"/>
              <w:right w:w="80" w:type="dxa"/>
            </w:tcMar>
          </w:tcPr>
          <w:p w14:paraId="12EEF301" w14:textId="077B8975" w:rsidR="00354230" w:rsidRDefault="00354230" w:rsidP="00354230">
            <w:pPr>
              <w:spacing w:line="240" w:lineRule="auto"/>
              <w:rPr>
                <w:sz w:val="20"/>
                <w:szCs w:val="20"/>
              </w:rPr>
            </w:pPr>
            <w:r>
              <w:rPr>
                <w:sz w:val="20"/>
                <w:szCs w:val="20"/>
              </w:rPr>
              <w:t>Health Add-On License: Certificate</w:t>
            </w:r>
          </w:p>
        </w:tc>
        <w:tc>
          <w:tcPr>
            <w:tcW w:w="924" w:type="pct"/>
            <w:shd w:val="clear" w:color="auto" w:fill="D0E0E3"/>
            <w:tcMar>
              <w:top w:w="80" w:type="dxa"/>
              <w:left w:w="80" w:type="dxa"/>
              <w:bottom w:w="80" w:type="dxa"/>
              <w:right w:w="80" w:type="dxa"/>
            </w:tcMar>
          </w:tcPr>
          <w:p w14:paraId="73ED342B" w14:textId="574EAD3D" w:rsidR="00354230" w:rsidRDefault="00354230" w:rsidP="00354230">
            <w:pPr>
              <w:spacing w:line="240" w:lineRule="auto"/>
              <w:rPr>
                <w:sz w:val="20"/>
                <w:szCs w:val="20"/>
              </w:rPr>
            </w:pPr>
            <w:r>
              <w:rPr>
                <w:sz w:val="20"/>
                <w:szCs w:val="20"/>
              </w:rPr>
              <w:t>0</w:t>
            </w:r>
          </w:p>
        </w:tc>
        <w:tc>
          <w:tcPr>
            <w:tcW w:w="924" w:type="pct"/>
            <w:shd w:val="clear" w:color="auto" w:fill="D0E0E3"/>
            <w:tcMar>
              <w:top w:w="80" w:type="dxa"/>
              <w:left w:w="80" w:type="dxa"/>
              <w:bottom w:w="80" w:type="dxa"/>
              <w:right w:w="80" w:type="dxa"/>
            </w:tcMar>
          </w:tcPr>
          <w:p w14:paraId="6DF74869" w14:textId="29550687" w:rsidR="00354230" w:rsidRDefault="00354230" w:rsidP="00354230">
            <w:pPr>
              <w:spacing w:line="240" w:lineRule="auto"/>
              <w:rPr>
                <w:sz w:val="20"/>
                <w:szCs w:val="20"/>
              </w:rPr>
            </w:pPr>
            <w:r>
              <w:rPr>
                <w:sz w:val="20"/>
                <w:szCs w:val="20"/>
              </w:rPr>
              <w:t>3</w:t>
            </w:r>
          </w:p>
        </w:tc>
      </w:tr>
      <w:tr w:rsidR="00354230" w14:paraId="252BBEC7" w14:textId="77777777" w:rsidTr="005607CB">
        <w:trPr>
          <w:trHeight w:val="441"/>
        </w:trPr>
        <w:tc>
          <w:tcPr>
            <w:tcW w:w="1576" w:type="pct"/>
            <w:tcBorders>
              <w:left w:val="nil"/>
              <w:bottom w:val="nil"/>
              <w:right w:val="nil"/>
            </w:tcBorders>
            <w:tcMar>
              <w:top w:w="80" w:type="dxa"/>
              <w:left w:w="80" w:type="dxa"/>
              <w:bottom w:w="80" w:type="dxa"/>
              <w:right w:w="80" w:type="dxa"/>
            </w:tcMar>
          </w:tcPr>
          <w:p w14:paraId="316017BB" w14:textId="77777777" w:rsidR="00354230" w:rsidRDefault="00354230" w:rsidP="00354230">
            <w:pPr>
              <w:spacing w:line="240" w:lineRule="auto"/>
            </w:pPr>
          </w:p>
        </w:tc>
        <w:tc>
          <w:tcPr>
            <w:tcW w:w="1576" w:type="pct"/>
            <w:tcBorders>
              <w:left w:val="nil"/>
              <w:bottom w:val="nil"/>
            </w:tcBorders>
            <w:tcMar>
              <w:top w:w="80" w:type="dxa"/>
              <w:left w:w="80" w:type="dxa"/>
              <w:bottom w:w="80" w:type="dxa"/>
              <w:right w:w="80" w:type="dxa"/>
            </w:tcMar>
          </w:tcPr>
          <w:p w14:paraId="4E7B280A" w14:textId="77777777" w:rsidR="00354230" w:rsidRDefault="00354230" w:rsidP="00354230">
            <w:pPr>
              <w:spacing w:line="240" w:lineRule="auto"/>
            </w:pPr>
          </w:p>
        </w:tc>
        <w:tc>
          <w:tcPr>
            <w:tcW w:w="924" w:type="pct"/>
            <w:shd w:val="clear" w:color="auto" w:fill="D0E0E3"/>
            <w:tcMar>
              <w:top w:w="80" w:type="dxa"/>
              <w:left w:w="80" w:type="dxa"/>
              <w:bottom w:w="80" w:type="dxa"/>
              <w:right w:w="80" w:type="dxa"/>
            </w:tcMar>
          </w:tcPr>
          <w:p w14:paraId="65BBEFEE" w14:textId="08021DF6" w:rsidR="00354230" w:rsidRDefault="00354230" w:rsidP="00354230">
            <w:pPr>
              <w:spacing w:after="90" w:line="259" w:lineRule="auto"/>
            </w:pPr>
            <w:r>
              <w:t xml:space="preserve">TOTAL: </w:t>
            </w:r>
            <w:r w:rsidR="00747262">
              <w:t>615</w:t>
            </w:r>
          </w:p>
        </w:tc>
        <w:tc>
          <w:tcPr>
            <w:tcW w:w="924" w:type="pct"/>
            <w:shd w:val="clear" w:color="auto" w:fill="D0E0E3"/>
            <w:tcMar>
              <w:top w:w="80" w:type="dxa"/>
              <w:left w:w="80" w:type="dxa"/>
              <w:bottom w:w="80" w:type="dxa"/>
              <w:right w:w="80" w:type="dxa"/>
            </w:tcMar>
          </w:tcPr>
          <w:p w14:paraId="75F077AA" w14:textId="79F5AE0C" w:rsidR="00354230" w:rsidRDefault="00354230" w:rsidP="00354230">
            <w:pPr>
              <w:spacing w:after="90" w:line="259" w:lineRule="auto"/>
            </w:pPr>
            <w:r>
              <w:t>TOTAL</w:t>
            </w:r>
            <w:r w:rsidR="00747262">
              <w:t>: 196</w:t>
            </w:r>
          </w:p>
        </w:tc>
      </w:tr>
    </w:tbl>
    <w:p w14:paraId="1A42A240" w14:textId="77777777" w:rsidR="00FB0310" w:rsidRDefault="00FB0310">
      <w:pPr>
        <w:spacing w:after="90" w:line="259" w:lineRule="auto"/>
        <w:jc w:val="both"/>
        <w:rPr>
          <w:sz w:val="24"/>
          <w:szCs w:val="24"/>
        </w:rPr>
      </w:pPr>
    </w:p>
    <w:p w14:paraId="68586E50" w14:textId="77777777" w:rsidR="00FB0310" w:rsidRPr="005607CB" w:rsidRDefault="000457E7">
      <w:pPr>
        <w:numPr>
          <w:ilvl w:val="0"/>
          <w:numId w:val="2"/>
        </w:numPr>
        <w:ind w:left="360"/>
        <w:rPr>
          <w:b/>
          <w:sz w:val="24"/>
          <w:szCs w:val="24"/>
        </w:rPr>
      </w:pPr>
      <w:r w:rsidRPr="005607CB">
        <w:rPr>
          <w:b/>
          <w:sz w:val="24"/>
          <w:szCs w:val="24"/>
        </w:rPr>
        <w:t>Program Performance Indicators</w:t>
      </w:r>
    </w:p>
    <w:p w14:paraId="238CECF9" w14:textId="3F68C287" w:rsidR="00FB0310" w:rsidRPr="005607CB" w:rsidRDefault="000457E7">
      <w:pPr>
        <w:spacing w:after="200"/>
        <w:rPr>
          <w:sz w:val="24"/>
          <w:szCs w:val="24"/>
        </w:rPr>
      </w:pPr>
      <w:r w:rsidRPr="005607CB">
        <w:rPr>
          <w:sz w:val="24"/>
          <w:szCs w:val="24"/>
        </w:rPr>
        <w:t>Th</w:t>
      </w:r>
      <w:r w:rsidR="005607CB" w:rsidRPr="005607CB">
        <w:rPr>
          <w:sz w:val="24"/>
          <w:szCs w:val="24"/>
        </w:rPr>
        <w:t>e following indicators of program performance are reported annually</w:t>
      </w:r>
      <w:r w:rsidRPr="005607CB">
        <w:rPr>
          <w:sz w:val="24"/>
          <w:szCs w:val="24"/>
        </w:rPr>
        <w:t xml:space="preserve">. </w:t>
      </w:r>
    </w:p>
    <w:p w14:paraId="706BD43C" w14:textId="77777777" w:rsidR="00FB0310" w:rsidRDefault="000457E7">
      <w:pPr>
        <w:rPr>
          <w:b/>
        </w:rPr>
      </w:pPr>
      <w:r>
        <w:rPr>
          <w:b/>
        </w:rPr>
        <w:t>Table 2: Program Performance Indicators</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9350"/>
      </w:tblGrid>
      <w:tr w:rsidR="00FB0310" w14:paraId="41FCCAF9" w14:textId="77777777" w:rsidTr="005607CB">
        <w:trPr>
          <w:trHeight w:val="420"/>
        </w:trPr>
        <w:tc>
          <w:tcPr>
            <w:tcW w:w="5000" w:type="pct"/>
            <w:shd w:val="clear" w:color="auto" w:fill="FFFFFF"/>
          </w:tcPr>
          <w:p w14:paraId="73BA0272" w14:textId="77777777" w:rsidR="00FB0310" w:rsidRDefault="000457E7" w:rsidP="005607CB">
            <w:pPr>
              <w:ind w:left="240" w:hanging="240"/>
              <w:rPr>
                <w:rFonts w:ascii="Arial" w:eastAsia="Arial" w:hAnsi="Arial" w:cs="Arial"/>
                <w:sz w:val="20"/>
                <w:szCs w:val="20"/>
              </w:rPr>
            </w:pPr>
            <w:r>
              <w:rPr>
                <w:rFonts w:ascii="Arial" w:eastAsia="Arial" w:hAnsi="Arial" w:cs="Arial"/>
                <w:sz w:val="20"/>
                <w:szCs w:val="20"/>
              </w:rPr>
              <w:lastRenderedPageBreak/>
              <w:t xml:space="preserve">1. </w:t>
            </w:r>
            <w:r>
              <w:rPr>
                <w:rFonts w:ascii="Arial" w:eastAsia="Arial" w:hAnsi="Arial" w:cs="Arial"/>
                <w:b/>
                <w:sz w:val="20"/>
                <w:szCs w:val="20"/>
              </w:rPr>
              <w:t>Total</w:t>
            </w:r>
            <w:r>
              <w:rPr>
                <w:rFonts w:ascii="Arial" w:eastAsia="Arial" w:hAnsi="Arial" w:cs="Arial"/>
                <w:sz w:val="20"/>
                <w:szCs w:val="20"/>
              </w:rPr>
              <w:t xml:space="preserve"> </w:t>
            </w:r>
            <w:r>
              <w:rPr>
                <w:rFonts w:ascii="Arial" w:eastAsia="Arial" w:hAnsi="Arial" w:cs="Arial"/>
                <w:b/>
                <w:sz w:val="20"/>
                <w:szCs w:val="20"/>
              </w:rPr>
              <w:t>enrollment</w:t>
            </w:r>
            <w:r>
              <w:rPr>
                <w:rFonts w:ascii="Arial" w:eastAsia="Arial" w:hAnsi="Arial" w:cs="Arial"/>
                <w:sz w:val="20"/>
                <w:szCs w:val="20"/>
              </w:rPr>
              <w:t xml:space="preserve"> in educator preparation programs for the most recently completed academic year, or annual cycle defined by provider (unduplicated count--i.e., count individuals seeking more than one certificate or license only once).</w:t>
            </w:r>
          </w:p>
        </w:tc>
      </w:tr>
      <w:tr w:rsidR="00FB0310" w14:paraId="12727095" w14:textId="77777777" w:rsidTr="005607CB">
        <w:trPr>
          <w:trHeight w:val="420"/>
        </w:trPr>
        <w:tc>
          <w:tcPr>
            <w:tcW w:w="5000" w:type="pct"/>
            <w:shd w:val="clear" w:color="auto" w:fill="D0E0E3"/>
          </w:tcPr>
          <w:p w14:paraId="1A037A2B" w14:textId="57751381" w:rsidR="00FB0310" w:rsidRPr="00E75C46" w:rsidRDefault="00E75C46">
            <w:pPr>
              <w:rPr>
                <w:rFonts w:ascii="Arial" w:eastAsia="Arial" w:hAnsi="Arial" w:cs="Arial"/>
                <w:color w:val="auto"/>
                <w:sz w:val="20"/>
                <w:szCs w:val="20"/>
              </w:rPr>
            </w:pPr>
            <w:r>
              <w:rPr>
                <w:rFonts w:ascii="Arial" w:eastAsia="Arial" w:hAnsi="Arial" w:cs="Arial"/>
                <w:color w:val="auto"/>
                <w:sz w:val="20"/>
                <w:szCs w:val="20"/>
              </w:rPr>
              <w:t xml:space="preserve">BSU’s Professional Education program has </w:t>
            </w:r>
            <w:r w:rsidR="00747262">
              <w:rPr>
                <w:rFonts w:ascii="Arial" w:eastAsia="Arial" w:hAnsi="Arial" w:cs="Arial"/>
                <w:color w:val="auto"/>
                <w:sz w:val="20"/>
                <w:szCs w:val="20"/>
              </w:rPr>
              <w:t>500</w:t>
            </w:r>
            <w:r>
              <w:rPr>
                <w:rFonts w:ascii="Arial" w:eastAsia="Arial" w:hAnsi="Arial" w:cs="Arial"/>
                <w:color w:val="auto"/>
                <w:sz w:val="20"/>
                <w:szCs w:val="20"/>
              </w:rPr>
              <w:t xml:space="preserve"> enrolled, unduplicated individuals</w:t>
            </w:r>
            <w:r w:rsidR="00EE15DC">
              <w:rPr>
                <w:rFonts w:ascii="Arial" w:eastAsia="Arial" w:hAnsi="Arial" w:cs="Arial"/>
                <w:color w:val="auto"/>
                <w:sz w:val="20"/>
                <w:szCs w:val="20"/>
              </w:rPr>
              <w:t>.</w:t>
            </w:r>
          </w:p>
        </w:tc>
      </w:tr>
      <w:tr w:rsidR="00FB0310" w14:paraId="325A8804" w14:textId="77777777" w:rsidTr="005607CB">
        <w:trPr>
          <w:trHeight w:val="420"/>
        </w:trPr>
        <w:tc>
          <w:tcPr>
            <w:tcW w:w="5000" w:type="pct"/>
            <w:shd w:val="clear" w:color="auto" w:fill="FFFFFF"/>
          </w:tcPr>
          <w:p w14:paraId="4B55B701" w14:textId="77777777" w:rsidR="00FB0310" w:rsidRDefault="000457E7" w:rsidP="005607CB">
            <w:pPr>
              <w:ind w:left="240" w:hanging="24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b/>
                <w:sz w:val="20"/>
                <w:szCs w:val="20"/>
              </w:rPr>
              <w:t>Total</w:t>
            </w:r>
            <w:r>
              <w:rPr>
                <w:rFonts w:ascii="Arial" w:eastAsia="Arial" w:hAnsi="Arial" w:cs="Arial"/>
                <w:sz w:val="20"/>
                <w:szCs w:val="20"/>
              </w:rPr>
              <w:t xml:space="preserve"> number of unique </w:t>
            </w:r>
            <w:r>
              <w:rPr>
                <w:rFonts w:ascii="Arial" w:eastAsia="Arial" w:hAnsi="Arial" w:cs="Arial"/>
                <w:b/>
                <w:sz w:val="20"/>
                <w:szCs w:val="20"/>
              </w:rPr>
              <w:t xml:space="preserve">completers </w:t>
            </w:r>
            <w:r>
              <w:rPr>
                <w:rFonts w:ascii="Arial" w:eastAsia="Arial" w:hAnsi="Arial" w:cs="Arial"/>
                <w:sz w:val="20"/>
                <w:szCs w:val="20"/>
              </w:rPr>
              <w:t>(across all programs) in most recently completed academic year, or annual cycle defined by provider.</w:t>
            </w:r>
          </w:p>
        </w:tc>
      </w:tr>
      <w:tr w:rsidR="00FB0310" w14:paraId="44A96801" w14:textId="77777777" w:rsidTr="005607CB">
        <w:trPr>
          <w:trHeight w:val="420"/>
        </w:trPr>
        <w:tc>
          <w:tcPr>
            <w:tcW w:w="5000" w:type="pct"/>
            <w:shd w:val="clear" w:color="auto" w:fill="D0E0E3"/>
          </w:tcPr>
          <w:p w14:paraId="5620D572" w14:textId="57372604" w:rsidR="00FB0310" w:rsidRPr="00E75C46" w:rsidRDefault="00354230">
            <w:pPr>
              <w:rPr>
                <w:rFonts w:ascii="Arial" w:eastAsia="Arial" w:hAnsi="Arial" w:cs="Arial"/>
                <w:color w:val="FF0000"/>
                <w:sz w:val="20"/>
                <w:szCs w:val="20"/>
              </w:rPr>
            </w:pPr>
            <w:r>
              <w:rPr>
                <w:rFonts w:ascii="Arial" w:eastAsia="Arial" w:hAnsi="Arial" w:cs="Arial"/>
                <w:color w:val="auto"/>
                <w:sz w:val="20"/>
                <w:szCs w:val="20"/>
              </w:rPr>
              <w:t xml:space="preserve">BSU’s Professional Education program has 163 </w:t>
            </w:r>
            <w:r w:rsidR="00E75C46">
              <w:rPr>
                <w:rFonts w:ascii="Arial" w:eastAsia="Arial" w:hAnsi="Arial" w:cs="Arial"/>
                <w:color w:val="auto"/>
                <w:sz w:val="20"/>
                <w:szCs w:val="20"/>
              </w:rPr>
              <w:t>unduplicated completers</w:t>
            </w:r>
            <w:r w:rsidR="00EE15DC">
              <w:rPr>
                <w:rFonts w:ascii="Arial" w:eastAsia="Arial" w:hAnsi="Arial" w:cs="Arial"/>
                <w:color w:val="auto"/>
                <w:sz w:val="20"/>
                <w:szCs w:val="20"/>
              </w:rPr>
              <w:t>.</w:t>
            </w:r>
          </w:p>
        </w:tc>
      </w:tr>
      <w:tr w:rsidR="00FB0310" w14:paraId="71B4AC3F" w14:textId="77777777" w:rsidTr="005607CB">
        <w:trPr>
          <w:trHeight w:val="420"/>
        </w:trPr>
        <w:tc>
          <w:tcPr>
            <w:tcW w:w="5000" w:type="pct"/>
            <w:shd w:val="clear" w:color="auto" w:fill="FFFFFF"/>
          </w:tcPr>
          <w:p w14:paraId="3207D64A" w14:textId="77777777" w:rsidR="00FB0310" w:rsidRDefault="000457E7" w:rsidP="005607CB">
            <w:pPr>
              <w:ind w:left="240" w:hanging="240"/>
              <w:rPr>
                <w:rFonts w:ascii="Arial" w:eastAsia="Arial" w:hAnsi="Arial" w:cs="Arial"/>
                <w:sz w:val="20"/>
                <w:szCs w:val="20"/>
              </w:rPr>
            </w:pPr>
            <w:r>
              <w:rPr>
                <w:rFonts w:ascii="Arial" w:eastAsia="Arial" w:hAnsi="Arial" w:cs="Arial"/>
                <w:sz w:val="20"/>
                <w:szCs w:val="20"/>
              </w:rPr>
              <w:t xml:space="preserve">3. </w:t>
            </w:r>
            <w:bookmarkStart w:id="1" w:name="_Hlk37670151"/>
            <w:r>
              <w:rPr>
                <w:rFonts w:ascii="Arial" w:eastAsia="Arial" w:hAnsi="Arial" w:cs="Arial"/>
                <w:b/>
                <w:sz w:val="20"/>
                <w:szCs w:val="20"/>
              </w:rPr>
              <w:t>Number</w:t>
            </w:r>
            <w:r>
              <w:rPr>
                <w:rFonts w:ascii="Arial" w:eastAsia="Arial" w:hAnsi="Arial" w:cs="Arial"/>
                <w:sz w:val="20"/>
                <w:szCs w:val="20"/>
              </w:rPr>
              <w:t xml:space="preserve"> of completers </w:t>
            </w:r>
            <w:r>
              <w:rPr>
                <w:rFonts w:ascii="Arial" w:eastAsia="Arial" w:hAnsi="Arial" w:cs="Arial"/>
                <w:b/>
                <w:sz w:val="20"/>
                <w:szCs w:val="20"/>
              </w:rPr>
              <w:t>recommended</w:t>
            </w:r>
            <w:r>
              <w:rPr>
                <w:rFonts w:ascii="Arial" w:eastAsia="Arial" w:hAnsi="Arial" w:cs="Arial"/>
                <w:sz w:val="20"/>
                <w:szCs w:val="20"/>
              </w:rPr>
              <w:t xml:space="preserve"> for certification or licensure in most recently completed academic year, or annual cycle defined by provider. Please note numbers, if any, that are recommended for more than one certificate or license.</w:t>
            </w:r>
            <w:bookmarkEnd w:id="1"/>
          </w:p>
        </w:tc>
      </w:tr>
      <w:tr w:rsidR="00FB0310" w14:paraId="43A3AAD0" w14:textId="77777777" w:rsidTr="005607CB">
        <w:trPr>
          <w:trHeight w:val="420"/>
        </w:trPr>
        <w:tc>
          <w:tcPr>
            <w:tcW w:w="5000" w:type="pct"/>
            <w:shd w:val="clear" w:color="auto" w:fill="D0E0E3"/>
          </w:tcPr>
          <w:tbl>
            <w:tblPr>
              <w:tblW w:w="4740" w:type="dxa"/>
              <w:tblLook w:val="04A0" w:firstRow="1" w:lastRow="0" w:firstColumn="1" w:lastColumn="0" w:noHBand="0" w:noVBand="1"/>
            </w:tblPr>
            <w:tblGrid>
              <w:gridCol w:w="4380"/>
              <w:gridCol w:w="551"/>
            </w:tblGrid>
            <w:tr w:rsidR="000513E7" w:rsidRPr="000513E7" w14:paraId="5EF05261" w14:textId="77777777" w:rsidTr="002A5D67">
              <w:trPr>
                <w:trHeight w:val="300"/>
              </w:trPr>
              <w:tc>
                <w:tcPr>
                  <w:tcW w:w="4740" w:type="dxa"/>
                  <w:gridSpan w:val="2"/>
                  <w:tcBorders>
                    <w:top w:val="nil"/>
                    <w:left w:val="nil"/>
                    <w:bottom w:val="single" w:sz="4" w:space="0" w:color="auto"/>
                    <w:right w:val="nil"/>
                  </w:tcBorders>
                  <w:shd w:val="clear" w:color="auto" w:fill="auto"/>
                  <w:noWrap/>
                  <w:vAlign w:val="bottom"/>
                  <w:hideMark/>
                </w:tcPr>
                <w:p w14:paraId="702BE4AA" w14:textId="7FB49DA4" w:rsidR="000513E7" w:rsidRPr="00925911" w:rsidRDefault="000513E7" w:rsidP="000513E7">
                  <w:pPr>
                    <w:spacing w:line="240" w:lineRule="auto"/>
                    <w:jc w:val="center"/>
                    <w:rPr>
                      <w:rFonts w:ascii="Calibri" w:eastAsia="Times New Roman" w:hAnsi="Calibri" w:cs="Calibri"/>
                      <w:b/>
                      <w:bCs/>
                      <w:color w:val="000000"/>
                      <w:lang w:val="en-US"/>
                    </w:rPr>
                  </w:pPr>
                  <w:r w:rsidRPr="00925911">
                    <w:rPr>
                      <w:rFonts w:ascii="Calibri" w:eastAsia="Times New Roman" w:hAnsi="Calibri" w:cs="Calibri"/>
                      <w:b/>
                      <w:bCs/>
                      <w:color w:val="000000"/>
                      <w:lang w:val="en-US"/>
                    </w:rPr>
                    <w:t>2018-2019 Licensure Break-Down</w:t>
                  </w:r>
                </w:p>
              </w:tc>
            </w:tr>
            <w:tr w:rsidR="000513E7" w:rsidRPr="000513E7" w14:paraId="56AC4126" w14:textId="77777777" w:rsidTr="002A5D67">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4495408F" w14:textId="77777777" w:rsidR="000513E7" w:rsidRPr="000513E7" w:rsidRDefault="000513E7" w:rsidP="000513E7">
                  <w:pPr>
                    <w:spacing w:line="240" w:lineRule="auto"/>
                    <w:rPr>
                      <w:rFonts w:ascii="Calibri" w:eastAsia="Times New Roman" w:hAnsi="Calibri" w:cs="Calibri"/>
                      <w:color w:val="000000"/>
                      <w:lang w:val="en-US"/>
                    </w:rPr>
                  </w:pPr>
                  <w:r w:rsidRPr="000513E7">
                    <w:rPr>
                      <w:rFonts w:ascii="Calibri" w:eastAsia="Times New Roman" w:hAnsi="Calibri" w:cs="Calibri"/>
                      <w:color w:val="000000"/>
                      <w:lang w:val="en-US"/>
                    </w:rPr>
                    <w:t>Number of Duplicated Initial Licenses</w:t>
                  </w:r>
                </w:p>
              </w:tc>
              <w:tc>
                <w:tcPr>
                  <w:tcW w:w="360" w:type="dxa"/>
                  <w:tcBorders>
                    <w:top w:val="nil"/>
                    <w:left w:val="nil"/>
                    <w:bottom w:val="single" w:sz="4" w:space="0" w:color="auto"/>
                    <w:right w:val="single" w:sz="4" w:space="0" w:color="auto"/>
                  </w:tcBorders>
                  <w:shd w:val="clear" w:color="auto" w:fill="auto"/>
                  <w:noWrap/>
                  <w:vAlign w:val="bottom"/>
                  <w:hideMark/>
                </w:tcPr>
                <w:p w14:paraId="2CDA8850" w14:textId="77777777" w:rsidR="000513E7" w:rsidRPr="000513E7" w:rsidRDefault="000513E7" w:rsidP="000513E7">
                  <w:pPr>
                    <w:spacing w:line="240" w:lineRule="auto"/>
                    <w:jc w:val="right"/>
                    <w:rPr>
                      <w:rFonts w:ascii="Calibri" w:eastAsia="Times New Roman" w:hAnsi="Calibri" w:cs="Calibri"/>
                      <w:color w:val="000000"/>
                      <w:lang w:val="en-US"/>
                    </w:rPr>
                  </w:pPr>
                  <w:r w:rsidRPr="000513E7">
                    <w:rPr>
                      <w:rFonts w:ascii="Calibri" w:eastAsia="Times New Roman" w:hAnsi="Calibri" w:cs="Calibri"/>
                      <w:color w:val="000000"/>
                      <w:lang w:val="en-US"/>
                    </w:rPr>
                    <w:t>463</w:t>
                  </w:r>
                </w:p>
              </w:tc>
            </w:tr>
            <w:tr w:rsidR="000513E7" w:rsidRPr="000513E7" w14:paraId="28055432" w14:textId="77777777" w:rsidTr="002A5D67">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294C31B6" w14:textId="77777777" w:rsidR="000513E7" w:rsidRPr="000513E7" w:rsidRDefault="000513E7" w:rsidP="000513E7">
                  <w:pPr>
                    <w:spacing w:line="240" w:lineRule="auto"/>
                    <w:rPr>
                      <w:rFonts w:ascii="Calibri" w:eastAsia="Times New Roman" w:hAnsi="Calibri" w:cs="Calibri"/>
                      <w:color w:val="000000"/>
                      <w:lang w:val="en-US"/>
                    </w:rPr>
                  </w:pPr>
                  <w:r w:rsidRPr="000513E7">
                    <w:rPr>
                      <w:rFonts w:ascii="Calibri" w:eastAsia="Times New Roman" w:hAnsi="Calibri" w:cs="Calibri"/>
                      <w:color w:val="000000"/>
                      <w:lang w:val="en-US"/>
                    </w:rPr>
                    <w:t>Number of Unduplicated Initial Licenses</w:t>
                  </w:r>
                </w:p>
              </w:tc>
              <w:tc>
                <w:tcPr>
                  <w:tcW w:w="360" w:type="dxa"/>
                  <w:tcBorders>
                    <w:top w:val="nil"/>
                    <w:left w:val="nil"/>
                    <w:bottom w:val="single" w:sz="4" w:space="0" w:color="auto"/>
                    <w:right w:val="single" w:sz="4" w:space="0" w:color="auto"/>
                  </w:tcBorders>
                  <w:shd w:val="clear" w:color="auto" w:fill="auto"/>
                  <w:noWrap/>
                  <w:vAlign w:val="bottom"/>
                  <w:hideMark/>
                </w:tcPr>
                <w:p w14:paraId="6B1BE3F6" w14:textId="77777777" w:rsidR="000513E7" w:rsidRPr="000513E7" w:rsidRDefault="000513E7" w:rsidP="000513E7">
                  <w:pPr>
                    <w:spacing w:line="240" w:lineRule="auto"/>
                    <w:jc w:val="right"/>
                    <w:rPr>
                      <w:rFonts w:ascii="Calibri" w:eastAsia="Times New Roman" w:hAnsi="Calibri" w:cs="Calibri"/>
                      <w:color w:val="000000"/>
                      <w:lang w:val="en-US"/>
                    </w:rPr>
                  </w:pPr>
                  <w:r w:rsidRPr="000513E7">
                    <w:rPr>
                      <w:rFonts w:ascii="Calibri" w:eastAsia="Times New Roman" w:hAnsi="Calibri" w:cs="Calibri"/>
                      <w:color w:val="000000"/>
                      <w:lang w:val="en-US"/>
                    </w:rPr>
                    <w:t>365</w:t>
                  </w:r>
                </w:p>
              </w:tc>
            </w:tr>
            <w:tr w:rsidR="000513E7" w:rsidRPr="000513E7" w14:paraId="20BF355F" w14:textId="77777777" w:rsidTr="002A5D67">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F7BD781" w14:textId="77777777" w:rsidR="000513E7" w:rsidRPr="000513E7" w:rsidRDefault="000513E7" w:rsidP="000513E7">
                  <w:pPr>
                    <w:spacing w:line="240" w:lineRule="auto"/>
                    <w:rPr>
                      <w:rFonts w:ascii="Calibri" w:eastAsia="Times New Roman" w:hAnsi="Calibri" w:cs="Calibri"/>
                      <w:color w:val="000000"/>
                      <w:lang w:val="en-US"/>
                    </w:rPr>
                  </w:pPr>
                  <w:r w:rsidRPr="000513E7">
                    <w:rPr>
                      <w:rFonts w:ascii="Calibri" w:eastAsia="Times New Roman" w:hAnsi="Calibri" w:cs="Calibri"/>
                      <w:color w:val="000000"/>
                      <w:lang w:val="en-US"/>
                    </w:rPr>
                    <w:t>Number of Duplicated Add-On Licenses</w:t>
                  </w:r>
                </w:p>
              </w:tc>
              <w:tc>
                <w:tcPr>
                  <w:tcW w:w="360" w:type="dxa"/>
                  <w:tcBorders>
                    <w:top w:val="nil"/>
                    <w:left w:val="nil"/>
                    <w:bottom w:val="single" w:sz="4" w:space="0" w:color="auto"/>
                    <w:right w:val="single" w:sz="4" w:space="0" w:color="auto"/>
                  </w:tcBorders>
                  <w:shd w:val="clear" w:color="auto" w:fill="auto"/>
                  <w:noWrap/>
                  <w:vAlign w:val="bottom"/>
                  <w:hideMark/>
                </w:tcPr>
                <w:p w14:paraId="7D076BCB" w14:textId="77777777" w:rsidR="000513E7" w:rsidRPr="000513E7" w:rsidRDefault="000513E7" w:rsidP="000513E7">
                  <w:pPr>
                    <w:spacing w:line="240" w:lineRule="auto"/>
                    <w:jc w:val="right"/>
                    <w:rPr>
                      <w:rFonts w:ascii="Calibri" w:eastAsia="Times New Roman" w:hAnsi="Calibri" w:cs="Calibri"/>
                      <w:color w:val="000000"/>
                      <w:lang w:val="en-US"/>
                    </w:rPr>
                  </w:pPr>
                  <w:r w:rsidRPr="000513E7">
                    <w:rPr>
                      <w:rFonts w:ascii="Calibri" w:eastAsia="Times New Roman" w:hAnsi="Calibri" w:cs="Calibri"/>
                      <w:color w:val="000000"/>
                      <w:lang w:val="en-US"/>
                    </w:rPr>
                    <w:t>95</w:t>
                  </w:r>
                </w:p>
              </w:tc>
            </w:tr>
            <w:tr w:rsidR="000513E7" w:rsidRPr="000513E7" w14:paraId="4F2CB9D7" w14:textId="77777777" w:rsidTr="002A5D67">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26F4345" w14:textId="77777777" w:rsidR="000513E7" w:rsidRPr="000513E7" w:rsidRDefault="000513E7" w:rsidP="000513E7">
                  <w:pPr>
                    <w:spacing w:line="240" w:lineRule="auto"/>
                    <w:rPr>
                      <w:rFonts w:ascii="Calibri" w:eastAsia="Times New Roman" w:hAnsi="Calibri" w:cs="Calibri"/>
                      <w:color w:val="000000"/>
                      <w:lang w:val="en-US"/>
                    </w:rPr>
                  </w:pPr>
                  <w:r w:rsidRPr="000513E7">
                    <w:rPr>
                      <w:rFonts w:ascii="Calibri" w:eastAsia="Times New Roman" w:hAnsi="Calibri" w:cs="Calibri"/>
                      <w:color w:val="000000"/>
                      <w:lang w:val="en-US"/>
                    </w:rPr>
                    <w:t>Number of Unduplicated Add-On Licenses</w:t>
                  </w:r>
                </w:p>
              </w:tc>
              <w:tc>
                <w:tcPr>
                  <w:tcW w:w="360" w:type="dxa"/>
                  <w:tcBorders>
                    <w:top w:val="nil"/>
                    <w:left w:val="nil"/>
                    <w:bottom w:val="single" w:sz="4" w:space="0" w:color="auto"/>
                    <w:right w:val="single" w:sz="4" w:space="0" w:color="auto"/>
                  </w:tcBorders>
                  <w:shd w:val="clear" w:color="auto" w:fill="auto"/>
                  <w:noWrap/>
                  <w:vAlign w:val="bottom"/>
                  <w:hideMark/>
                </w:tcPr>
                <w:p w14:paraId="61748C06" w14:textId="77777777" w:rsidR="000513E7" w:rsidRPr="000513E7" w:rsidRDefault="000513E7" w:rsidP="000513E7">
                  <w:pPr>
                    <w:spacing w:line="240" w:lineRule="auto"/>
                    <w:jc w:val="right"/>
                    <w:rPr>
                      <w:rFonts w:ascii="Calibri" w:eastAsia="Times New Roman" w:hAnsi="Calibri" w:cs="Calibri"/>
                      <w:color w:val="000000"/>
                      <w:lang w:val="en-US"/>
                    </w:rPr>
                  </w:pPr>
                  <w:r w:rsidRPr="000513E7">
                    <w:rPr>
                      <w:rFonts w:ascii="Calibri" w:eastAsia="Times New Roman" w:hAnsi="Calibri" w:cs="Calibri"/>
                      <w:color w:val="000000"/>
                      <w:lang w:val="en-US"/>
                    </w:rPr>
                    <w:t>87</w:t>
                  </w:r>
                </w:p>
              </w:tc>
            </w:tr>
          </w:tbl>
          <w:p w14:paraId="3B40E526" w14:textId="77777777" w:rsidR="00FB0310" w:rsidRDefault="00FB0310">
            <w:pPr>
              <w:rPr>
                <w:rFonts w:ascii="Arial" w:eastAsia="Arial" w:hAnsi="Arial" w:cs="Arial"/>
                <w:sz w:val="20"/>
                <w:szCs w:val="20"/>
              </w:rPr>
            </w:pPr>
          </w:p>
        </w:tc>
      </w:tr>
      <w:tr w:rsidR="00FB0310" w14:paraId="464E0972" w14:textId="77777777" w:rsidTr="005607CB">
        <w:trPr>
          <w:trHeight w:val="420"/>
        </w:trPr>
        <w:tc>
          <w:tcPr>
            <w:tcW w:w="5000" w:type="pct"/>
            <w:shd w:val="clear" w:color="auto" w:fill="FFFFFF"/>
          </w:tcPr>
          <w:p w14:paraId="78DCB664" w14:textId="77777777" w:rsidR="00FB0310" w:rsidRDefault="000457E7" w:rsidP="005607CB">
            <w:pPr>
              <w:ind w:left="240" w:hanging="240"/>
              <w:rPr>
                <w:rFonts w:ascii="Arial" w:eastAsia="Arial" w:hAnsi="Arial" w:cs="Arial"/>
                <w:sz w:val="20"/>
                <w:szCs w:val="20"/>
              </w:rPr>
            </w:pPr>
            <w:bookmarkStart w:id="2" w:name="_Hlk39147249"/>
            <w:r>
              <w:rPr>
                <w:rFonts w:ascii="Arial" w:eastAsia="Arial" w:hAnsi="Arial" w:cs="Arial"/>
                <w:sz w:val="20"/>
                <w:szCs w:val="20"/>
              </w:rPr>
              <w:t xml:space="preserve">4. Cohort completion rates for candidates who completed the various programs in each respective program’s expected timeframe </w:t>
            </w:r>
            <w:r>
              <w:rPr>
                <w:rFonts w:ascii="Arial" w:eastAsia="Arial" w:hAnsi="Arial" w:cs="Arial"/>
                <w:b/>
                <w:sz w:val="20"/>
                <w:szCs w:val="20"/>
              </w:rPr>
              <w:t>and</w:t>
            </w:r>
            <w:r>
              <w:rPr>
                <w:rFonts w:ascii="Arial" w:eastAsia="Arial" w:hAnsi="Arial" w:cs="Arial"/>
                <w:sz w:val="20"/>
                <w:szCs w:val="20"/>
              </w:rPr>
              <w:t xml:space="preserve"> in 1.5 times each respective program’s expected timeframes.</w:t>
            </w:r>
            <w:bookmarkEnd w:id="2"/>
          </w:p>
        </w:tc>
      </w:tr>
      <w:tr w:rsidR="00FB0310" w14:paraId="6F825A74" w14:textId="77777777" w:rsidTr="005607CB">
        <w:trPr>
          <w:trHeight w:val="420"/>
        </w:trPr>
        <w:tc>
          <w:tcPr>
            <w:tcW w:w="5000" w:type="pct"/>
            <w:shd w:val="clear" w:color="auto" w:fill="D0E0E3"/>
          </w:tcPr>
          <w:p w14:paraId="3ACD42A4" w14:textId="46C63525" w:rsidR="00FB0310" w:rsidRPr="00D05F4E" w:rsidRDefault="00D05F4E">
            <w:pPr>
              <w:rPr>
                <w:rFonts w:ascii="Arial" w:eastAsia="Arial" w:hAnsi="Arial" w:cs="Arial"/>
                <w:sz w:val="20"/>
                <w:szCs w:val="20"/>
              </w:rPr>
            </w:pPr>
            <w:r w:rsidRPr="00D05F4E">
              <w:rPr>
                <w:rFonts w:ascii="Arial" w:eastAsia="Arial" w:hAnsi="Arial" w:cs="Arial"/>
                <w:sz w:val="20"/>
                <w:szCs w:val="20"/>
              </w:rPr>
              <w:t xml:space="preserve">Associated with unavoidable COVID-19 related delays, BSU’s Office of Institutional Research &amp; Effectiveness has been unable to pull </w:t>
            </w:r>
            <w:proofErr w:type="gramStart"/>
            <w:r w:rsidRPr="00D05F4E">
              <w:rPr>
                <w:rFonts w:ascii="Arial" w:eastAsia="Arial" w:hAnsi="Arial" w:cs="Arial"/>
                <w:sz w:val="20"/>
                <w:szCs w:val="20"/>
              </w:rPr>
              <w:t>all of</w:t>
            </w:r>
            <w:proofErr w:type="gramEnd"/>
            <w:r w:rsidRPr="00D05F4E">
              <w:rPr>
                <w:rFonts w:ascii="Arial" w:eastAsia="Arial" w:hAnsi="Arial" w:cs="Arial"/>
                <w:sz w:val="20"/>
                <w:szCs w:val="20"/>
              </w:rPr>
              <w:t xml:space="preserve"> this required information. The Department did not track this data element in the past and since the Minnesota COVID-19 pandemic shutdown in May, the IR office has been inundated with administrator requests.  They are also experiencing issues with system access as they work remotely. We are hopeful that once their staff members have the needed resources and access issues are resolved, we can quickly develop these queries and amend this report.</w:t>
            </w:r>
          </w:p>
        </w:tc>
      </w:tr>
      <w:tr w:rsidR="00FB0310" w14:paraId="63D12FE0" w14:textId="77777777" w:rsidTr="005607CB">
        <w:trPr>
          <w:trHeight w:val="420"/>
        </w:trPr>
        <w:tc>
          <w:tcPr>
            <w:tcW w:w="5000" w:type="pct"/>
            <w:shd w:val="clear" w:color="auto" w:fill="FFFFFF"/>
          </w:tcPr>
          <w:p w14:paraId="76D4FBEA" w14:textId="77777777" w:rsidR="00FB0310" w:rsidRDefault="000457E7" w:rsidP="005607CB">
            <w:pPr>
              <w:ind w:left="240" w:hanging="240"/>
              <w:rPr>
                <w:rFonts w:ascii="Arial" w:eastAsia="Arial" w:hAnsi="Arial" w:cs="Arial"/>
                <w:sz w:val="20"/>
                <w:szCs w:val="20"/>
              </w:rPr>
            </w:pPr>
            <w:r>
              <w:rPr>
                <w:rFonts w:ascii="Arial" w:eastAsia="Arial" w:hAnsi="Arial" w:cs="Arial"/>
                <w:sz w:val="20"/>
                <w:szCs w:val="20"/>
              </w:rPr>
              <w:t>5. Summary of State license examination results, including teacher performance assessments (you may include link to publicly available external reporting sites).  Please specify any examinations on which the pass rate (cumulative at time of reporting) were below 80%.</w:t>
            </w:r>
          </w:p>
        </w:tc>
      </w:tr>
      <w:tr w:rsidR="00FB0310" w14:paraId="3FDE88FB" w14:textId="77777777" w:rsidTr="005607CB">
        <w:trPr>
          <w:trHeight w:val="420"/>
        </w:trPr>
        <w:tc>
          <w:tcPr>
            <w:tcW w:w="5000" w:type="pct"/>
            <w:shd w:val="clear" w:color="auto" w:fill="D0E0E3"/>
          </w:tcPr>
          <w:p w14:paraId="6B26858E" w14:textId="617E97F9" w:rsidR="00FB0310" w:rsidRDefault="00B608AC">
            <w:pPr>
              <w:rPr>
                <w:rFonts w:ascii="Arial" w:eastAsia="Arial" w:hAnsi="Arial" w:cs="Arial"/>
                <w:sz w:val="20"/>
                <w:szCs w:val="20"/>
              </w:rPr>
            </w:pPr>
            <w:r>
              <w:rPr>
                <w:rFonts w:ascii="Arial" w:eastAsia="Arial" w:hAnsi="Arial" w:cs="Arial"/>
                <w:sz w:val="20"/>
                <w:szCs w:val="20"/>
              </w:rPr>
              <w:t xml:space="preserve">It is required by the State of Minnesota’s Professional Educator </w:t>
            </w:r>
            <w:r w:rsidR="00925911">
              <w:rPr>
                <w:rFonts w:ascii="Arial" w:eastAsia="Arial" w:hAnsi="Arial" w:cs="Arial"/>
                <w:sz w:val="20"/>
                <w:szCs w:val="20"/>
              </w:rPr>
              <w:t>Licensing and Standards</w:t>
            </w:r>
            <w:r>
              <w:rPr>
                <w:rFonts w:ascii="Arial" w:eastAsia="Arial" w:hAnsi="Arial" w:cs="Arial"/>
                <w:sz w:val="20"/>
                <w:szCs w:val="20"/>
              </w:rPr>
              <w:t xml:space="preserve"> Board </w:t>
            </w:r>
            <w:r w:rsidR="00B36E47">
              <w:rPr>
                <w:rFonts w:ascii="Arial" w:eastAsia="Arial" w:hAnsi="Arial" w:cs="Arial"/>
                <w:sz w:val="20"/>
                <w:szCs w:val="20"/>
              </w:rPr>
              <w:t xml:space="preserve">(PELSB) </w:t>
            </w:r>
            <w:r>
              <w:rPr>
                <w:rFonts w:ascii="Arial" w:eastAsia="Arial" w:hAnsi="Arial" w:cs="Arial"/>
                <w:sz w:val="20"/>
                <w:szCs w:val="20"/>
              </w:rPr>
              <w:t xml:space="preserve">that candidates </w:t>
            </w:r>
            <w:r w:rsidR="00B7131F">
              <w:rPr>
                <w:rFonts w:ascii="Arial" w:eastAsia="Arial" w:hAnsi="Arial" w:cs="Arial"/>
                <w:sz w:val="20"/>
                <w:szCs w:val="20"/>
              </w:rPr>
              <w:t xml:space="preserve">complete and </w:t>
            </w:r>
            <w:r>
              <w:rPr>
                <w:rFonts w:ascii="Arial" w:eastAsia="Arial" w:hAnsi="Arial" w:cs="Arial"/>
                <w:sz w:val="20"/>
                <w:szCs w:val="20"/>
              </w:rPr>
              <w:t xml:space="preserve">receive an </w:t>
            </w:r>
            <w:proofErr w:type="spellStart"/>
            <w:r>
              <w:rPr>
                <w:rFonts w:ascii="Arial" w:eastAsia="Arial" w:hAnsi="Arial" w:cs="Arial"/>
                <w:sz w:val="20"/>
                <w:szCs w:val="20"/>
              </w:rPr>
              <w:t>edTPA</w:t>
            </w:r>
            <w:proofErr w:type="spellEnd"/>
            <w:r>
              <w:rPr>
                <w:rFonts w:ascii="Arial" w:eastAsia="Arial" w:hAnsi="Arial" w:cs="Arial"/>
                <w:sz w:val="20"/>
                <w:szCs w:val="20"/>
              </w:rPr>
              <w:t xml:space="preserve"> score; however, teacher candidates are not held to a specific pass rate to obtain their license. 100% of Bemidji State University’s student teachers completed the </w:t>
            </w:r>
            <w:proofErr w:type="spellStart"/>
            <w:r>
              <w:rPr>
                <w:rFonts w:ascii="Arial" w:eastAsia="Arial" w:hAnsi="Arial" w:cs="Arial"/>
                <w:sz w:val="20"/>
                <w:szCs w:val="20"/>
              </w:rPr>
              <w:t>edTPA</w:t>
            </w:r>
            <w:proofErr w:type="spellEnd"/>
            <w:r>
              <w:rPr>
                <w:rFonts w:ascii="Arial" w:eastAsia="Arial" w:hAnsi="Arial" w:cs="Arial"/>
                <w:sz w:val="20"/>
                <w:szCs w:val="20"/>
              </w:rPr>
              <w:t xml:space="preserve"> in 2018-2019, </w:t>
            </w:r>
            <w:r w:rsidR="00B7131F">
              <w:rPr>
                <w:rFonts w:ascii="Arial" w:eastAsia="Arial" w:hAnsi="Arial" w:cs="Arial"/>
                <w:sz w:val="20"/>
                <w:szCs w:val="20"/>
              </w:rPr>
              <w:t>thereby</w:t>
            </w:r>
            <w:r>
              <w:rPr>
                <w:rFonts w:ascii="Arial" w:eastAsia="Arial" w:hAnsi="Arial" w:cs="Arial"/>
                <w:sz w:val="20"/>
                <w:szCs w:val="20"/>
              </w:rPr>
              <w:t xml:space="preserve">, meeting the state’s current </w:t>
            </w:r>
            <w:proofErr w:type="spellStart"/>
            <w:r>
              <w:rPr>
                <w:rFonts w:ascii="Arial" w:eastAsia="Arial" w:hAnsi="Arial" w:cs="Arial"/>
                <w:sz w:val="20"/>
                <w:szCs w:val="20"/>
              </w:rPr>
              <w:t>edTPA</w:t>
            </w:r>
            <w:proofErr w:type="spellEnd"/>
            <w:r>
              <w:rPr>
                <w:rFonts w:ascii="Arial" w:eastAsia="Arial" w:hAnsi="Arial" w:cs="Arial"/>
                <w:sz w:val="20"/>
                <w:szCs w:val="20"/>
              </w:rPr>
              <w:t xml:space="preserve"> requirements.</w:t>
            </w:r>
          </w:p>
        </w:tc>
      </w:tr>
      <w:tr w:rsidR="00FB0310" w14:paraId="5F145E8B" w14:textId="77777777" w:rsidTr="005607CB">
        <w:trPr>
          <w:trHeight w:val="420"/>
        </w:trPr>
        <w:tc>
          <w:tcPr>
            <w:tcW w:w="5000" w:type="pct"/>
            <w:shd w:val="clear" w:color="auto" w:fill="FFFFFF"/>
          </w:tcPr>
          <w:p w14:paraId="5739CA57" w14:textId="77777777" w:rsidR="00FB0310" w:rsidRDefault="000457E7" w:rsidP="005607CB">
            <w:pPr>
              <w:ind w:left="240" w:hanging="240"/>
              <w:rPr>
                <w:rFonts w:ascii="Arial" w:eastAsia="Arial" w:hAnsi="Arial" w:cs="Arial"/>
                <w:sz w:val="20"/>
                <w:szCs w:val="20"/>
              </w:rPr>
            </w:pPr>
            <w:r>
              <w:rPr>
                <w:rFonts w:ascii="Arial" w:eastAsia="Arial" w:hAnsi="Arial" w:cs="Arial"/>
                <w:sz w:val="20"/>
                <w:szCs w:val="20"/>
              </w:rPr>
              <w:t xml:space="preserve">6. Narrative explanation of evidence available from program completers, with characterization of findings. One to two paragraphs should be </w:t>
            </w:r>
            <w:proofErr w:type="gramStart"/>
            <w:r>
              <w:rPr>
                <w:rFonts w:ascii="Arial" w:eastAsia="Arial" w:hAnsi="Arial" w:cs="Arial"/>
                <w:sz w:val="20"/>
                <w:szCs w:val="20"/>
              </w:rPr>
              <w:t>sufficient</w:t>
            </w:r>
            <w:proofErr w:type="gramEnd"/>
            <w:r>
              <w:rPr>
                <w:rFonts w:ascii="Arial" w:eastAsia="Arial" w:hAnsi="Arial" w:cs="Arial"/>
                <w:sz w:val="20"/>
                <w:szCs w:val="20"/>
              </w:rPr>
              <w:t>.</w:t>
            </w:r>
          </w:p>
        </w:tc>
      </w:tr>
      <w:tr w:rsidR="00FB0310" w14:paraId="4C36CEC1" w14:textId="77777777" w:rsidTr="005607CB">
        <w:trPr>
          <w:trHeight w:val="420"/>
        </w:trPr>
        <w:tc>
          <w:tcPr>
            <w:tcW w:w="5000" w:type="pct"/>
            <w:shd w:val="clear" w:color="auto" w:fill="D0E0E3"/>
          </w:tcPr>
          <w:p w14:paraId="05F69AFA" w14:textId="2EDDBDDB" w:rsidR="00A77FDF" w:rsidRDefault="00C95C77" w:rsidP="00C95C77">
            <w:pPr>
              <w:rPr>
                <w:rFonts w:ascii="Arial" w:eastAsia="Arial" w:hAnsi="Arial" w:cs="Arial"/>
                <w:sz w:val="20"/>
                <w:szCs w:val="20"/>
              </w:rPr>
            </w:pPr>
            <w:r>
              <w:rPr>
                <w:rFonts w:ascii="Arial" w:eastAsia="Arial" w:hAnsi="Arial" w:cs="Arial"/>
                <w:sz w:val="20"/>
                <w:szCs w:val="20"/>
              </w:rPr>
              <w:t xml:space="preserve">Our program completers </w:t>
            </w:r>
            <w:r w:rsidR="00A77FDF">
              <w:rPr>
                <w:rFonts w:ascii="Arial" w:eastAsia="Arial" w:hAnsi="Arial" w:cs="Arial"/>
                <w:sz w:val="20"/>
                <w:szCs w:val="20"/>
              </w:rPr>
              <w:t>complete the</w:t>
            </w:r>
            <w:r>
              <w:rPr>
                <w:rFonts w:ascii="Arial" w:eastAsia="Arial" w:hAnsi="Arial" w:cs="Arial"/>
                <w:sz w:val="20"/>
                <w:szCs w:val="20"/>
              </w:rPr>
              <w:t xml:space="preserve"> NeXT Common Metrics </w:t>
            </w:r>
            <w:r w:rsidR="00A77FDF">
              <w:rPr>
                <w:rFonts w:ascii="Arial" w:eastAsia="Arial" w:hAnsi="Arial" w:cs="Arial"/>
                <w:sz w:val="20"/>
                <w:szCs w:val="20"/>
              </w:rPr>
              <w:t>Transition to Teaching</w:t>
            </w:r>
            <w:r>
              <w:rPr>
                <w:rFonts w:ascii="Arial" w:eastAsia="Arial" w:hAnsi="Arial" w:cs="Arial"/>
                <w:sz w:val="20"/>
                <w:szCs w:val="20"/>
              </w:rPr>
              <w:t xml:space="preserve"> Survey, chosen and mandated by the State of Minnesota’s Professional Educator Licensing and Standards Board</w:t>
            </w:r>
            <w:r w:rsidR="00B36E47">
              <w:rPr>
                <w:rFonts w:ascii="Arial" w:eastAsia="Arial" w:hAnsi="Arial" w:cs="Arial"/>
                <w:sz w:val="20"/>
                <w:szCs w:val="20"/>
              </w:rPr>
              <w:t xml:space="preserve"> (PELSB)</w:t>
            </w:r>
            <w:r>
              <w:rPr>
                <w:rFonts w:ascii="Arial" w:eastAsia="Arial" w:hAnsi="Arial" w:cs="Arial"/>
                <w:sz w:val="20"/>
                <w:szCs w:val="20"/>
              </w:rPr>
              <w:t xml:space="preserve">. </w:t>
            </w:r>
            <w:r w:rsidR="00A77FDF">
              <w:rPr>
                <w:rFonts w:ascii="Arial" w:eastAsia="Arial" w:hAnsi="Arial" w:cs="Arial"/>
                <w:sz w:val="20"/>
                <w:szCs w:val="20"/>
              </w:rPr>
              <w:t>First-year teachers evaluate how well BSU prepared them</w:t>
            </w:r>
            <w:r>
              <w:rPr>
                <w:rFonts w:ascii="Arial" w:eastAsia="Arial" w:hAnsi="Arial" w:cs="Arial"/>
                <w:sz w:val="20"/>
                <w:szCs w:val="20"/>
              </w:rPr>
              <w:t xml:space="preserve"> </w:t>
            </w:r>
            <w:r w:rsidR="00A77FDF">
              <w:rPr>
                <w:rFonts w:ascii="Arial" w:eastAsia="Arial" w:hAnsi="Arial" w:cs="Arial"/>
                <w:sz w:val="20"/>
                <w:szCs w:val="20"/>
              </w:rPr>
              <w:t>on</w:t>
            </w:r>
            <w:r>
              <w:rPr>
                <w:rFonts w:ascii="Arial" w:eastAsia="Arial" w:hAnsi="Arial" w:cs="Arial"/>
                <w:sz w:val="20"/>
                <w:szCs w:val="20"/>
              </w:rPr>
              <w:t xml:space="preserve"> various items within the following four categories: Instructional Practice, Diverse Learners, Learning Environment, and Professionalism. The </w:t>
            </w:r>
            <w:r w:rsidR="00A77FDF">
              <w:rPr>
                <w:rFonts w:ascii="Arial" w:eastAsia="Arial" w:hAnsi="Arial" w:cs="Arial"/>
                <w:sz w:val="20"/>
                <w:szCs w:val="20"/>
              </w:rPr>
              <w:t>Transition to Teaching</w:t>
            </w:r>
            <w:r>
              <w:rPr>
                <w:rFonts w:ascii="Arial" w:eastAsia="Arial" w:hAnsi="Arial" w:cs="Arial"/>
                <w:sz w:val="20"/>
                <w:szCs w:val="20"/>
              </w:rPr>
              <w:t xml:space="preserve"> Survey was sent to 79 </w:t>
            </w:r>
            <w:r w:rsidR="00A77FDF">
              <w:rPr>
                <w:rFonts w:ascii="Arial" w:eastAsia="Arial" w:hAnsi="Arial" w:cs="Arial"/>
                <w:sz w:val="20"/>
                <w:szCs w:val="20"/>
              </w:rPr>
              <w:t>first-year teachers</w:t>
            </w:r>
            <w:r>
              <w:rPr>
                <w:rFonts w:ascii="Arial" w:eastAsia="Arial" w:hAnsi="Arial" w:cs="Arial"/>
                <w:sz w:val="20"/>
                <w:szCs w:val="20"/>
              </w:rPr>
              <w:t xml:space="preserve"> to capture data on 2018-2019 completers</w:t>
            </w:r>
            <w:r w:rsidR="00A77FDF">
              <w:rPr>
                <w:rFonts w:ascii="Arial" w:eastAsia="Arial" w:hAnsi="Arial" w:cs="Arial"/>
                <w:sz w:val="20"/>
                <w:szCs w:val="20"/>
              </w:rPr>
              <w:t>. Unfortunately, only one teacher completed this survey, indicating a .01% response rate.</w:t>
            </w:r>
          </w:p>
          <w:p w14:paraId="137F5A0B" w14:textId="77777777" w:rsidR="00A77FDF" w:rsidRDefault="00A77FDF" w:rsidP="00C95C77">
            <w:pPr>
              <w:rPr>
                <w:rFonts w:ascii="Arial" w:eastAsia="Arial" w:hAnsi="Arial" w:cs="Arial"/>
                <w:sz w:val="20"/>
                <w:szCs w:val="20"/>
              </w:rPr>
            </w:pPr>
          </w:p>
          <w:p w14:paraId="3412890D" w14:textId="4F901D8E" w:rsidR="00C95C77" w:rsidRDefault="00A77FDF" w:rsidP="00C95C77">
            <w:pPr>
              <w:rPr>
                <w:rFonts w:ascii="Arial" w:eastAsia="Arial" w:hAnsi="Arial" w:cs="Arial"/>
                <w:sz w:val="20"/>
                <w:szCs w:val="20"/>
              </w:rPr>
            </w:pPr>
            <w:r>
              <w:rPr>
                <w:rFonts w:ascii="Arial" w:eastAsia="Arial" w:hAnsi="Arial" w:cs="Arial"/>
                <w:sz w:val="20"/>
                <w:szCs w:val="20"/>
              </w:rPr>
              <w:t xml:space="preserve">Bemidji State University has historically had a small response rate on this survey, as have other Minnesota Colleges and Universities. This is a topic </w:t>
            </w:r>
            <w:r w:rsidR="00B36E47">
              <w:rPr>
                <w:rFonts w:ascii="Arial" w:eastAsia="Arial" w:hAnsi="Arial" w:cs="Arial"/>
                <w:sz w:val="20"/>
                <w:szCs w:val="20"/>
              </w:rPr>
              <w:t>often discussed at the Minnesota Association of Colleges for Teacher Education (MACTE) Conference multiple times a year as institutions share what they are doing to try and increase these response rates. We will continue collaborating with these individuals and work towards growing our Alumni engagement, hopefully also increasing our response rates on the Transition to Teaching survey.</w:t>
            </w:r>
          </w:p>
          <w:p w14:paraId="2B7BECC3" w14:textId="77777777" w:rsidR="00FB0310" w:rsidRDefault="00FB0310">
            <w:pPr>
              <w:rPr>
                <w:rFonts w:ascii="Arial" w:eastAsia="Arial" w:hAnsi="Arial" w:cs="Arial"/>
                <w:sz w:val="20"/>
                <w:szCs w:val="20"/>
              </w:rPr>
            </w:pPr>
          </w:p>
        </w:tc>
      </w:tr>
      <w:tr w:rsidR="00FB0310" w14:paraId="2B8BB362" w14:textId="77777777" w:rsidTr="005607CB">
        <w:trPr>
          <w:trHeight w:val="420"/>
        </w:trPr>
        <w:tc>
          <w:tcPr>
            <w:tcW w:w="5000" w:type="pct"/>
            <w:shd w:val="clear" w:color="auto" w:fill="FFFFFF"/>
          </w:tcPr>
          <w:p w14:paraId="6DA69AC0" w14:textId="77777777" w:rsidR="00FB0310" w:rsidRDefault="000457E7" w:rsidP="005607CB">
            <w:pPr>
              <w:ind w:left="240" w:hanging="240"/>
              <w:rPr>
                <w:rFonts w:ascii="Arial" w:eastAsia="Arial" w:hAnsi="Arial" w:cs="Arial"/>
                <w:sz w:val="20"/>
                <w:szCs w:val="20"/>
              </w:rPr>
            </w:pPr>
            <w:r>
              <w:rPr>
                <w:rFonts w:ascii="Arial" w:eastAsia="Arial" w:hAnsi="Arial" w:cs="Arial"/>
                <w:sz w:val="20"/>
                <w:szCs w:val="20"/>
              </w:rPr>
              <w:lastRenderedPageBreak/>
              <w:t xml:space="preserve">7. Narrative explanation of evidence available from employers of program completers, with characterization of findings.  One to two paragraphs should be </w:t>
            </w:r>
            <w:proofErr w:type="gramStart"/>
            <w:r>
              <w:rPr>
                <w:rFonts w:ascii="Arial" w:eastAsia="Arial" w:hAnsi="Arial" w:cs="Arial"/>
                <w:sz w:val="20"/>
                <w:szCs w:val="20"/>
              </w:rPr>
              <w:t>sufficient</w:t>
            </w:r>
            <w:proofErr w:type="gramEnd"/>
            <w:r>
              <w:rPr>
                <w:rFonts w:ascii="Arial" w:eastAsia="Arial" w:hAnsi="Arial" w:cs="Arial"/>
                <w:sz w:val="20"/>
                <w:szCs w:val="20"/>
              </w:rPr>
              <w:t>.</w:t>
            </w:r>
          </w:p>
        </w:tc>
      </w:tr>
      <w:tr w:rsidR="00FB0310" w14:paraId="69A1A3DC" w14:textId="77777777" w:rsidTr="005607CB">
        <w:trPr>
          <w:trHeight w:val="420"/>
        </w:trPr>
        <w:tc>
          <w:tcPr>
            <w:tcW w:w="5000" w:type="pct"/>
            <w:shd w:val="clear" w:color="auto" w:fill="D0E0E3"/>
          </w:tcPr>
          <w:p w14:paraId="1481DC6B" w14:textId="4F969559" w:rsidR="00F2792C" w:rsidRDefault="00F2792C">
            <w:pPr>
              <w:rPr>
                <w:rFonts w:ascii="Arial" w:eastAsia="Arial" w:hAnsi="Arial" w:cs="Arial"/>
                <w:sz w:val="20"/>
                <w:szCs w:val="20"/>
              </w:rPr>
            </w:pPr>
            <w:r>
              <w:rPr>
                <w:rFonts w:ascii="Arial" w:eastAsia="Arial" w:hAnsi="Arial" w:cs="Arial"/>
                <w:sz w:val="20"/>
                <w:szCs w:val="20"/>
              </w:rPr>
              <w:t>Our program completers are evaluated by their employers using the NeXT Common Metrics Administrator/Principal Survey, chosen and mandated by the State of Minnesota’s Professional Educator Licensing and Standards Board</w:t>
            </w:r>
            <w:r w:rsidR="00B36E47">
              <w:rPr>
                <w:rFonts w:ascii="Arial" w:eastAsia="Arial" w:hAnsi="Arial" w:cs="Arial"/>
                <w:sz w:val="20"/>
                <w:szCs w:val="20"/>
              </w:rPr>
              <w:t xml:space="preserve"> (PELSB)</w:t>
            </w:r>
            <w:r>
              <w:rPr>
                <w:rFonts w:ascii="Arial" w:eastAsia="Arial" w:hAnsi="Arial" w:cs="Arial"/>
                <w:sz w:val="20"/>
                <w:szCs w:val="20"/>
              </w:rPr>
              <w:t xml:space="preserve">. Employers evaluate </w:t>
            </w:r>
            <w:r w:rsidR="00C95C77">
              <w:rPr>
                <w:rFonts w:ascii="Arial" w:eastAsia="Arial" w:hAnsi="Arial" w:cs="Arial"/>
                <w:sz w:val="20"/>
                <w:szCs w:val="20"/>
              </w:rPr>
              <w:t>how well BSU prepared these</w:t>
            </w:r>
            <w:r>
              <w:rPr>
                <w:rFonts w:ascii="Arial" w:eastAsia="Arial" w:hAnsi="Arial" w:cs="Arial"/>
                <w:sz w:val="20"/>
                <w:szCs w:val="20"/>
              </w:rPr>
              <w:t xml:space="preserve"> first-year teachers </w:t>
            </w:r>
            <w:r w:rsidR="00A77FDF">
              <w:rPr>
                <w:rFonts w:ascii="Arial" w:eastAsia="Arial" w:hAnsi="Arial" w:cs="Arial"/>
                <w:sz w:val="20"/>
                <w:szCs w:val="20"/>
              </w:rPr>
              <w:t>o</w:t>
            </w:r>
            <w:r>
              <w:rPr>
                <w:rFonts w:ascii="Arial" w:eastAsia="Arial" w:hAnsi="Arial" w:cs="Arial"/>
                <w:sz w:val="20"/>
                <w:szCs w:val="20"/>
              </w:rPr>
              <w:t xml:space="preserve">n various items </w:t>
            </w:r>
            <w:r w:rsidR="00325A86">
              <w:rPr>
                <w:rFonts w:ascii="Arial" w:eastAsia="Arial" w:hAnsi="Arial" w:cs="Arial"/>
                <w:sz w:val="20"/>
                <w:szCs w:val="20"/>
              </w:rPr>
              <w:t xml:space="preserve">on a scale of 1-4 </w:t>
            </w:r>
            <w:r>
              <w:rPr>
                <w:rFonts w:ascii="Arial" w:eastAsia="Arial" w:hAnsi="Arial" w:cs="Arial"/>
                <w:sz w:val="20"/>
                <w:szCs w:val="20"/>
              </w:rPr>
              <w:t xml:space="preserve">within the following four categories: Instructional Practice, Diverse Learners, Learning Environment, and Professionalism. The </w:t>
            </w:r>
            <w:r w:rsidR="00C95C77">
              <w:rPr>
                <w:rFonts w:ascii="Arial" w:eastAsia="Arial" w:hAnsi="Arial" w:cs="Arial"/>
                <w:sz w:val="20"/>
                <w:szCs w:val="20"/>
              </w:rPr>
              <w:t>Administrator/Principal Survey was sent to 7</w:t>
            </w:r>
            <w:r w:rsidR="00B36E47">
              <w:rPr>
                <w:rFonts w:ascii="Arial" w:eastAsia="Arial" w:hAnsi="Arial" w:cs="Arial"/>
                <w:sz w:val="20"/>
                <w:szCs w:val="20"/>
              </w:rPr>
              <w:t>0</w:t>
            </w:r>
            <w:r w:rsidR="00C95C77">
              <w:rPr>
                <w:rFonts w:ascii="Arial" w:eastAsia="Arial" w:hAnsi="Arial" w:cs="Arial"/>
                <w:sz w:val="20"/>
                <w:szCs w:val="20"/>
              </w:rPr>
              <w:t xml:space="preserve"> principals to capture data on </w:t>
            </w:r>
            <w:r w:rsidR="00B36E47">
              <w:rPr>
                <w:rFonts w:ascii="Arial" w:eastAsia="Arial" w:hAnsi="Arial" w:cs="Arial"/>
                <w:sz w:val="20"/>
                <w:szCs w:val="20"/>
              </w:rPr>
              <w:t xml:space="preserve">79 </w:t>
            </w:r>
            <w:r w:rsidR="00C95C77">
              <w:rPr>
                <w:rFonts w:ascii="Arial" w:eastAsia="Arial" w:hAnsi="Arial" w:cs="Arial"/>
                <w:sz w:val="20"/>
                <w:szCs w:val="20"/>
              </w:rPr>
              <w:t>2018-2019 completers, with</w:t>
            </w:r>
            <w:r w:rsidR="006621A5">
              <w:rPr>
                <w:rFonts w:ascii="Arial" w:eastAsia="Arial" w:hAnsi="Arial" w:cs="Arial"/>
                <w:sz w:val="20"/>
                <w:szCs w:val="20"/>
              </w:rPr>
              <w:t xml:space="preserve"> 49 completing the survey, for</w:t>
            </w:r>
            <w:r w:rsidR="00C95C77">
              <w:rPr>
                <w:rFonts w:ascii="Arial" w:eastAsia="Arial" w:hAnsi="Arial" w:cs="Arial"/>
                <w:sz w:val="20"/>
                <w:szCs w:val="20"/>
              </w:rPr>
              <w:t xml:space="preserve"> a 62.0</w:t>
            </w:r>
            <w:r w:rsidR="006621A5">
              <w:rPr>
                <w:rFonts w:ascii="Arial" w:eastAsia="Arial" w:hAnsi="Arial" w:cs="Arial"/>
                <w:sz w:val="20"/>
                <w:szCs w:val="20"/>
              </w:rPr>
              <w:t>3</w:t>
            </w:r>
            <w:r w:rsidR="00C95C77">
              <w:rPr>
                <w:rFonts w:ascii="Arial" w:eastAsia="Arial" w:hAnsi="Arial" w:cs="Arial"/>
                <w:sz w:val="20"/>
                <w:szCs w:val="20"/>
              </w:rPr>
              <w:t xml:space="preserve">% response rate. </w:t>
            </w:r>
          </w:p>
          <w:p w14:paraId="7C53325A" w14:textId="03B7594E" w:rsidR="006621A5" w:rsidRDefault="006621A5">
            <w:pPr>
              <w:rPr>
                <w:rFonts w:ascii="Arial" w:eastAsia="Arial" w:hAnsi="Arial" w:cs="Arial"/>
                <w:sz w:val="20"/>
                <w:szCs w:val="20"/>
              </w:rPr>
            </w:pPr>
          </w:p>
          <w:p w14:paraId="5B901006" w14:textId="5CF94D96" w:rsidR="00325A86" w:rsidRDefault="006621A5" w:rsidP="007D0D11">
            <w:pPr>
              <w:rPr>
                <w:rFonts w:ascii="Arial" w:eastAsia="Arial" w:hAnsi="Arial" w:cs="Arial"/>
                <w:sz w:val="20"/>
                <w:szCs w:val="20"/>
              </w:rPr>
            </w:pPr>
            <w:r>
              <w:rPr>
                <w:rFonts w:ascii="Arial" w:eastAsia="Arial" w:hAnsi="Arial" w:cs="Arial"/>
                <w:sz w:val="20"/>
                <w:szCs w:val="20"/>
              </w:rPr>
              <w:t xml:space="preserve">The department </w:t>
            </w:r>
            <w:r w:rsidR="007D0D11">
              <w:rPr>
                <w:rFonts w:ascii="Arial" w:eastAsia="Arial" w:hAnsi="Arial" w:cs="Arial"/>
                <w:sz w:val="20"/>
                <w:szCs w:val="20"/>
              </w:rPr>
              <w:t>analyze</w:t>
            </w:r>
            <w:r w:rsidR="00325A86">
              <w:rPr>
                <w:rFonts w:ascii="Arial" w:eastAsia="Arial" w:hAnsi="Arial" w:cs="Arial"/>
                <w:sz w:val="20"/>
                <w:szCs w:val="20"/>
              </w:rPr>
              <w:t>s</w:t>
            </w:r>
            <w:r w:rsidR="007D0D11">
              <w:rPr>
                <w:rFonts w:ascii="Arial" w:eastAsia="Arial" w:hAnsi="Arial" w:cs="Arial"/>
                <w:sz w:val="20"/>
                <w:szCs w:val="20"/>
              </w:rPr>
              <w:t xml:space="preserve"> these </w:t>
            </w:r>
            <w:r w:rsidR="00B7131F">
              <w:rPr>
                <w:rFonts w:ascii="Arial" w:eastAsia="Arial" w:hAnsi="Arial" w:cs="Arial"/>
                <w:sz w:val="20"/>
                <w:szCs w:val="20"/>
              </w:rPr>
              <w:t xml:space="preserve">data </w:t>
            </w:r>
            <w:r w:rsidR="007D0D11">
              <w:rPr>
                <w:rFonts w:ascii="Arial" w:eastAsia="Arial" w:hAnsi="Arial" w:cs="Arial"/>
                <w:sz w:val="20"/>
                <w:szCs w:val="20"/>
              </w:rPr>
              <w:t xml:space="preserve">each year and highlights the three </w:t>
            </w:r>
            <w:r w:rsidR="00B7131F">
              <w:rPr>
                <w:rFonts w:ascii="Arial" w:eastAsia="Arial" w:hAnsi="Arial" w:cs="Arial"/>
                <w:sz w:val="20"/>
                <w:szCs w:val="20"/>
              </w:rPr>
              <w:t xml:space="preserve">constructs </w:t>
            </w:r>
            <w:r w:rsidR="007D0D11">
              <w:rPr>
                <w:rFonts w:ascii="Arial" w:eastAsia="Arial" w:hAnsi="Arial" w:cs="Arial"/>
                <w:sz w:val="20"/>
                <w:szCs w:val="20"/>
              </w:rPr>
              <w:t xml:space="preserve">that principals rated our program highest and lowest in </w:t>
            </w:r>
            <w:r w:rsidR="00B7131F">
              <w:rPr>
                <w:rFonts w:ascii="Arial" w:eastAsia="Arial" w:hAnsi="Arial" w:cs="Arial"/>
                <w:sz w:val="20"/>
                <w:szCs w:val="20"/>
              </w:rPr>
              <w:t>terms of candidate preparation.</w:t>
            </w:r>
            <w:r w:rsidR="007D0D11">
              <w:rPr>
                <w:rFonts w:ascii="Arial" w:eastAsia="Arial" w:hAnsi="Arial" w:cs="Arial"/>
                <w:sz w:val="20"/>
                <w:szCs w:val="20"/>
              </w:rPr>
              <w:t xml:space="preserve"> The three highest</w:t>
            </w:r>
            <w:r w:rsidR="00325A86">
              <w:rPr>
                <w:rFonts w:ascii="Arial" w:eastAsia="Arial" w:hAnsi="Arial" w:cs="Arial"/>
                <w:sz w:val="20"/>
                <w:szCs w:val="20"/>
              </w:rPr>
              <w:t xml:space="preserve"> and their average</w:t>
            </w:r>
            <w:r w:rsidR="00B7131F">
              <w:rPr>
                <w:rFonts w:ascii="Arial" w:eastAsia="Arial" w:hAnsi="Arial" w:cs="Arial"/>
                <w:sz w:val="20"/>
                <w:szCs w:val="20"/>
              </w:rPr>
              <w:t xml:space="preserve"> rating</w:t>
            </w:r>
            <w:r w:rsidR="00325A86">
              <w:rPr>
                <w:rFonts w:ascii="Arial" w:eastAsia="Arial" w:hAnsi="Arial" w:cs="Arial"/>
                <w:sz w:val="20"/>
                <w:szCs w:val="20"/>
              </w:rPr>
              <w:t>s</w:t>
            </w:r>
            <w:r w:rsidR="007D0D11">
              <w:rPr>
                <w:rFonts w:ascii="Arial" w:eastAsia="Arial" w:hAnsi="Arial" w:cs="Arial"/>
                <w:sz w:val="20"/>
                <w:szCs w:val="20"/>
              </w:rPr>
              <w:t xml:space="preserve">, in order from highest to lowest, are: </w:t>
            </w:r>
          </w:p>
          <w:p w14:paraId="1D2A09D7" w14:textId="3160310C" w:rsidR="00325A86" w:rsidRPr="002E6F1C" w:rsidRDefault="007D0D11" w:rsidP="002E6F1C">
            <w:pPr>
              <w:pStyle w:val="ListParagraph"/>
              <w:numPr>
                <w:ilvl w:val="0"/>
                <w:numId w:val="6"/>
              </w:numPr>
              <w:rPr>
                <w:rFonts w:ascii="Arial" w:hAnsi="Arial" w:cs="Arial"/>
                <w:sz w:val="20"/>
                <w:szCs w:val="20"/>
              </w:rPr>
            </w:pPr>
            <w:r w:rsidRPr="002E6F1C">
              <w:rPr>
                <w:rFonts w:ascii="Arial" w:hAnsi="Arial" w:cs="Arial"/>
                <w:sz w:val="20"/>
                <w:szCs w:val="20"/>
              </w:rPr>
              <w:t>Upholds laws related to student rights and teacher responsibility</w:t>
            </w:r>
            <w:r w:rsidR="00325A86" w:rsidRPr="002E6F1C">
              <w:rPr>
                <w:rFonts w:ascii="Arial" w:hAnsi="Arial" w:cs="Arial"/>
                <w:sz w:val="20"/>
                <w:szCs w:val="20"/>
              </w:rPr>
              <w:t>: 3.86</w:t>
            </w:r>
          </w:p>
          <w:p w14:paraId="557DF676" w14:textId="21DB5273" w:rsidR="00325A86" w:rsidRPr="002E6F1C" w:rsidRDefault="007D0D11" w:rsidP="002E6F1C">
            <w:pPr>
              <w:pStyle w:val="ListParagraph"/>
              <w:numPr>
                <w:ilvl w:val="0"/>
                <w:numId w:val="6"/>
              </w:numPr>
              <w:rPr>
                <w:rFonts w:ascii="Arial" w:hAnsi="Arial" w:cs="Arial"/>
                <w:sz w:val="20"/>
                <w:szCs w:val="20"/>
              </w:rPr>
            </w:pPr>
            <w:r w:rsidRPr="002E6F1C">
              <w:rPr>
                <w:rFonts w:ascii="Arial" w:hAnsi="Arial" w:cs="Arial"/>
                <w:sz w:val="20"/>
                <w:szCs w:val="20"/>
              </w:rPr>
              <w:t>Collaborates with teaching colleagues to improve student performance</w:t>
            </w:r>
            <w:r w:rsidR="00325A86" w:rsidRPr="002E6F1C">
              <w:rPr>
                <w:rFonts w:ascii="Arial" w:hAnsi="Arial" w:cs="Arial"/>
                <w:sz w:val="20"/>
                <w:szCs w:val="20"/>
              </w:rPr>
              <w:t>: 3.84</w:t>
            </w:r>
          </w:p>
          <w:p w14:paraId="2F36703E" w14:textId="38678991" w:rsidR="00325A86" w:rsidRPr="002E6F1C" w:rsidRDefault="007D0D11" w:rsidP="002E6F1C">
            <w:pPr>
              <w:pStyle w:val="ListParagraph"/>
              <w:numPr>
                <w:ilvl w:val="0"/>
                <w:numId w:val="6"/>
              </w:numPr>
              <w:rPr>
                <w:rFonts w:ascii="Arial" w:hAnsi="Arial" w:cs="Arial"/>
                <w:sz w:val="20"/>
                <w:szCs w:val="20"/>
              </w:rPr>
            </w:pPr>
            <w:r w:rsidRPr="002E6F1C">
              <w:rPr>
                <w:rFonts w:ascii="Arial" w:hAnsi="Arial" w:cs="Arial"/>
                <w:sz w:val="20"/>
                <w:szCs w:val="20"/>
              </w:rPr>
              <w:t>Select instructional strategies to align with learning goals and standards</w:t>
            </w:r>
            <w:r w:rsidR="00325A86" w:rsidRPr="002E6F1C">
              <w:rPr>
                <w:rFonts w:ascii="Arial" w:hAnsi="Arial" w:cs="Arial"/>
                <w:sz w:val="20"/>
                <w:szCs w:val="20"/>
              </w:rPr>
              <w:t>: 3.82</w:t>
            </w:r>
          </w:p>
          <w:p w14:paraId="0CD21222" w14:textId="77777777" w:rsidR="00325A86" w:rsidRDefault="00325A86" w:rsidP="007D0D11">
            <w:pPr>
              <w:rPr>
                <w:rFonts w:ascii="Arial" w:eastAsia="Arial" w:hAnsi="Arial" w:cs="Arial"/>
                <w:sz w:val="20"/>
                <w:szCs w:val="20"/>
              </w:rPr>
            </w:pPr>
          </w:p>
          <w:p w14:paraId="15465B25" w14:textId="338BC53E" w:rsidR="00325A86" w:rsidRDefault="007D0D11" w:rsidP="007D0D11">
            <w:pPr>
              <w:rPr>
                <w:rFonts w:ascii="Arial" w:eastAsia="Arial" w:hAnsi="Arial" w:cs="Arial"/>
                <w:sz w:val="20"/>
                <w:szCs w:val="20"/>
              </w:rPr>
            </w:pPr>
            <w:r>
              <w:rPr>
                <w:rFonts w:ascii="Arial" w:eastAsia="Arial" w:hAnsi="Arial" w:cs="Arial"/>
                <w:sz w:val="20"/>
                <w:szCs w:val="20"/>
              </w:rPr>
              <w:t>The three lowest</w:t>
            </w:r>
            <w:r w:rsidR="00325A86">
              <w:rPr>
                <w:rFonts w:ascii="Arial" w:eastAsia="Arial" w:hAnsi="Arial" w:cs="Arial"/>
                <w:sz w:val="20"/>
                <w:szCs w:val="20"/>
              </w:rPr>
              <w:t xml:space="preserve"> and their averages</w:t>
            </w:r>
            <w:r w:rsidR="00B7131F">
              <w:rPr>
                <w:rFonts w:ascii="Arial" w:eastAsia="Arial" w:hAnsi="Arial" w:cs="Arial"/>
                <w:sz w:val="20"/>
                <w:szCs w:val="20"/>
              </w:rPr>
              <w:t xml:space="preserve"> rated</w:t>
            </w:r>
            <w:r>
              <w:rPr>
                <w:rFonts w:ascii="Arial" w:eastAsia="Arial" w:hAnsi="Arial" w:cs="Arial"/>
                <w:sz w:val="20"/>
                <w:szCs w:val="20"/>
              </w:rPr>
              <w:t xml:space="preserve">, in order from </w:t>
            </w:r>
            <w:r w:rsidR="00325A86">
              <w:rPr>
                <w:rFonts w:ascii="Arial" w:eastAsia="Arial" w:hAnsi="Arial" w:cs="Arial"/>
                <w:sz w:val="20"/>
                <w:szCs w:val="20"/>
              </w:rPr>
              <w:t>highest to lowest</w:t>
            </w:r>
            <w:r>
              <w:rPr>
                <w:rFonts w:ascii="Arial" w:eastAsia="Arial" w:hAnsi="Arial" w:cs="Arial"/>
                <w:sz w:val="20"/>
                <w:szCs w:val="20"/>
              </w:rPr>
              <w:t xml:space="preserve"> ar</w:t>
            </w:r>
            <w:r w:rsidR="00325A86">
              <w:rPr>
                <w:rFonts w:ascii="Arial" w:eastAsia="Arial" w:hAnsi="Arial" w:cs="Arial"/>
                <w:sz w:val="20"/>
                <w:szCs w:val="20"/>
              </w:rPr>
              <w:t xml:space="preserve">e: </w:t>
            </w:r>
          </w:p>
          <w:p w14:paraId="0351C516" w14:textId="61310B6E" w:rsidR="00325A86" w:rsidRPr="002E6F1C" w:rsidRDefault="007D0D11" w:rsidP="002E6F1C">
            <w:pPr>
              <w:pStyle w:val="ListParagraph"/>
              <w:numPr>
                <w:ilvl w:val="0"/>
                <w:numId w:val="7"/>
              </w:numPr>
              <w:rPr>
                <w:rFonts w:ascii="Arial" w:hAnsi="Arial" w:cs="Arial"/>
                <w:sz w:val="20"/>
                <w:szCs w:val="20"/>
              </w:rPr>
            </w:pPr>
            <w:r w:rsidRPr="002E6F1C">
              <w:rPr>
                <w:rFonts w:ascii="Arial" w:hAnsi="Arial" w:cs="Arial"/>
                <w:sz w:val="20"/>
                <w:szCs w:val="20"/>
              </w:rPr>
              <w:t>Makes interdisciplinary connections among core subjects</w:t>
            </w:r>
            <w:r w:rsidR="00325A86" w:rsidRPr="002E6F1C">
              <w:rPr>
                <w:rFonts w:ascii="Arial" w:hAnsi="Arial" w:cs="Arial"/>
                <w:sz w:val="20"/>
                <w:szCs w:val="20"/>
              </w:rPr>
              <w:t>: 3.47</w:t>
            </w:r>
          </w:p>
          <w:p w14:paraId="42318805" w14:textId="18BB69AD" w:rsidR="00325A86" w:rsidRPr="002E6F1C" w:rsidRDefault="007D0D11" w:rsidP="002E6F1C">
            <w:pPr>
              <w:pStyle w:val="ListParagraph"/>
              <w:numPr>
                <w:ilvl w:val="0"/>
                <w:numId w:val="7"/>
              </w:numPr>
              <w:rPr>
                <w:rFonts w:ascii="Arial" w:hAnsi="Arial" w:cs="Arial"/>
                <w:sz w:val="20"/>
                <w:szCs w:val="20"/>
              </w:rPr>
            </w:pPr>
            <w:r w:rsidRPr="002E6F1C">
              <w:rPr>
                <w:rFonts w:ascii="Arial" w:hAnsi="Arial" w:cs="Arial"/>
                <w:sz w:val="20"/>
                <w:szCs w:val="20"/>
              </w:rPr>
              <w:t>Differentiates assessments for all learners</w:t>
            </w:r>
            <w:r w:rsidR="00325A86" w:rsidRPr="002E6F1C">
              <w:rPr>
                <w:rFonts w:ascii="Arial" w:hAnsi="Arial" w:cs="Arial"/>
                <w:sz w:val="20"/>
                <w:szCs w:val="20"/>
              </w:rPr>
              <w:t>: 3.4</w:t>
            </w:r>
          </w:p>
          <w:p w14:paraId="006AD551" w14:textId="54C63598" w:rsidR="006621A5" w:rsidRPr="002E6F1C" w:rsidRDefault="007D0D11" w:rsidP="002E6F1C">
            <w:pPr>
              <w:pStyle w:val="ListParagraph"/>
              <w:numPr>
                <w:ilvl w:val="0"/>
                <w:numId w:val="7"/>
              </w:numPr>
              <w:rPr>
                <w:rFonts w:ascii="Arial" w:hAnsi="Arial" w:cs="Arial"/>
                <w:sz w:val="20"/>
                <w:szCs w:val="20"/>
              </w:rPr>
            </w:pPr>
            <w:r w:rsidRPr="002E6F1C">
              <w:rPr>
                <w:rFonts w:ascii="Arial" w:hAnsi="Arial" w:cs="Arial"/>
                <w:sz w:val="20"/>
                <w:szCs w:val="20"/>
              </w:rPr>
              <w:t>Identifies issues of reliability and validity in assessment</w:t>
            </w:r>
            <w:r w:rsidR="00325A86" w:rsidRPr="002E6F1C">
              <w:rPr>
                <w:rFonts w:ascii="Arial" w:hAnsi="Arial" w:cs="Arial"/>
                <w:sz w:val="20"/>
                <w:szCs w:val="20"/>
              </w:rPr>
              <w:t>:</w:t>
            </w:r>
            <w:r w:rsidRPr="002E6F1C">
              <w:rPr>
                <w:rFonts w:ascii="Arial" w:hAnsi="Arial" w:cs="Arial"/>
                <w:sz w:val="20"/>
                <w:szCs w:val="20"/>
              </w:rPr>
              <w:t xml:space="preserve"> </w:t>
            </w:r>
            <w:r w:rsidR="00325A86" w:rsidRPr="002E6F1C">
              <w:rPr>
                <w:rFonts w:ascii="Arial" w:hAnsi="Arial" w:cs="Arial"/>
                <w:sz w:val="20"/>
                <w:szCs w:val="20"/>
              </w:rPr>
              <w:t>3.35</w:t>
            </w:r>
          </w:p>
          <w:p w14:paraId="40EA8CCA" w14:textId="77777777" w:rsidR="007D0D11" w:rsidRDefault="007D0D11" w:rsidP="007D0D11">
            <w:pPr>
              <w:rPr>
                <w:rFonts w:ascii="Arial" w:eastAsia="Arial" w:hAnsi="Arial" w:cs="Arial"/>
                <w:sz w:val="20"/>
                <w:szCs w:val="20"/>
              </w:rPr>
            </w:pPr>
          </w:p>
          <w:p w14:paraId="296D855A" w14:textId="30D342E1" w:rsidR="007D0D11" w:rsidRPr="006621A5" w:rsidRDefault="007D0D11" w:rsidP="007D0D11">
            <w:pPr>
              <w:rPr>
                <w:rFonts w:ascii="Arial" w:eastAsia="Arial" w:hAnsi="Arial" w:cs="Arial"/>
                <w:sz w:val="20"/>
                <w:szCs w:val="20"/>
              </w:rPr>
            </w:pPr>
            <w:r>
              <w:rPr>
                <w:rFonts w:ascii="Arial" w:eastAsia="Arial" w:hAnsi="Arial" w:cs="Arial"/>
                <w:sz w:val="20"/>
                <w:szCs w:val="20"/>
              </w:rPr>
              <w:t xml:space="preserve">These findings were </w:t>
            </w:r>
            <w:proofErr w:type="gramStart"/>
            <w:r>
              <w:rPr>
                <w:rFonts w:ascii="Arial" w:eastAsia="Arial" w:hAnsi="Arial" w:cs="Arial"/>
                <w:sz w:val="20"/>
                <w:szCs w:val="20"/>
              </w:rPr>
              <w:t>similar to</w:t>
            </w:r>
            <w:proofErr w:type="gramEnd"/>
            <w:r>
              <w:rPr>
                <w:rFonts w:ascii="Arial" w:eastAsia="Arial" w:hAnsi="Arial" w:cs="Arial"/>
                <w:sz w:val="20"/>
                <w:szCs w:val="20"/>
              </w:rPr>
              <w:t xml:space="preserve"> 2017-2018 results, with principals indicating that their first-year teachers </w:t>
            </w:r>
            <w:r w:rsidR="00325A86">
              <w:rPr>
                <w:rFonts w:ascii="Arial" w:eastAsia="Arial" w:hAnsi="Arial" w:cs="Arial"/>
                <w:sz w:val="20"/>
                <w:szCs w:val="20"/>
              </w:rPr>
              <w:t>also</w:t>
            </w:r>
            <w:r>
              <w:rPr>
                <w:rFonts w:ascii="Arial" w:eastAsia="Arial" w:hAnsi="Arial" w:cs="Arial"/>
                <w:sz w:val="20"/>
                <w:szCs w:val="20"/>
              </w:rPr>
              <w:t xml:space="preserve"> struggled with </w:t>
            </w:r>
            <w:r w:rsidRPr="004C7865">
              <w:rPr>
                <w:rFonts w:ascii="Arial" w:eastAsia="Arial" w:hAnsi="Arial" w:cs="Arial"/>
                <w:sz w:val="20"/>
                <w:szCs w:val="20"/>
              </w:rPr>
              <w:t>assessment</w:t>
            </w:r>
            <w:r w:rsidR="00325A86" w:rsidRPr="002E6F1C">
              <w:rPr>
                <w:sz w:val="20"/>
                <w:szCs w:val="20"/>
                <w:u w:val="single"/>
              </w:rPr>
              <w:t xml:space="preserve"> </w:t>
            </w:r>
            <w:r w:rsidR="00325A86">
              <w:rPr>
                <w:rFonts w:ascii="Arial" w:eastAsia="Arial" w:hAnsi="Arial" w:cs="Arial"/>
                <w:sz w:val="20"/>
                <w:szCs w:val="20"/>
              </w:rPr>
              <w:t>pieces</w:t>
            </w:r>
            <w:r>
              <w:rPr>
                <w:rFonts w:ascii="Arial" w:eastAsia="Arial" w:hAnsi="Arial" w:cs="Arial"/>
                <w:sz w:val="20"/>
                <w:szCs w:val="20"/>
              </w:rPr>
              <w:t xml:space="preserve">. </w:t>
            </w:r>
            <w:r w:rsidR="00325A86">
              <w:rPr>
                <w:rFonts w:ascii="Arial" w:eastAsia="Arial" w:hAnsi="Arial" w:cs="Arial"/>
                <w:sz w:val="20"/>
                <w:szCs w:val="20"/>
              </w:rPr>
              <w:t>Additionally, this</w:t>
            </w:r>
            <w:r>
              <w:rPr>
                <w:rFonts w:ascii="Arial" w:eastAsia="Arial" w:hAnsi="Arial" w:cs="Arial"/>
                <w:sz w:val="20"/>
                <w:szCs w:val="20"/>
              </w:rPr>
              <w:t xml:space="preserve"> corresponds with </w:t>
            </w:r>
            <w:proofErr w:type="spellStart"/>
            <w:r>
              <w:rPr>
                <w:rFonts w:ascii="Arial" w:eastAsia="Arial" w:hAnsi="Arial" w:cs="Arial"/>
                <w:sz w:val="20"/>
                <w:szCs w:val="20"/>
              </w:rPr>
              <w:t>edTPA</w:t>
            </w:r>
            <w:proofErr w:type="spellEnd"/>
            <w:r>
              <w:rPr>
                <w:rFonts w:ascii="Arial" w:eastAsia="Arial" w:hAnsi="Arial" w:cs="Arial"/>
                <w:sz w:val="20"/>
                <w:szCs w:val="20"/>
              </w:rPr>
              <w:t xml:space="preserve"> scores, in which our student teachers have historically scored lowest in Task 3: Assessment. The department has implemented changes </w:t>
            </w:r>
            <w:r w:rsidR="00325A86">
              <w:rPr>
                <w:rFonts w:ascii="Arial" w:eastAsia="Arial" w:hAnsi="Arial" w:cs="Arial"/>
                <w:sz w:val="20"/>
                <w:szCs w:val="20"/>
              </w:rPr>
              <w:t>by incorporating more opportunities for students to practice assessment within specific courses and gain experience in providing feedback to peers. The Education Department also restructured their Key Assessments in Fall 2019 so that students now complete three Lesson Plan</w:t>
            </w:r>
            <w:r w:rsidR="00B7131F">
              <w:rPr>
                <w:rFonts w:ascii="Arial" w:eastAsia="Arial" w:hAnsi="Arial" w:cs="Arial"/>
                <w:sz w:val="20"/>
                <w:szCs w:val="20"/>
              </w:rPr>
              <w:t>s</w:t>
            </w:r>
            <w:r w:rsidR="00325A86">
              <w:rPr>
                <w:rFonts w:ascii="Arial" w:eastAsia="Arial" w:hAnsi="Arial" w:cs="Arial"/>
                <w:sz w:val="20"/>
                <w:szCs w:val="20"/>
              </w:rPr>
              <w:t xml:space="preserve">, based on the </w:t>
            </w:r>
            <w:proofErr w:type="spellStart"/>
            <w:r w:rsidR="00325A86">
              <w:rPr>
                <w:rFonts w:ascii="Arial" w:eastAsia="Arial" w:hAnsi="Arial" w:cs="Arial"/>
                <w:sz w:val="20"/>
                <w:szCs w:val="20"/>
              </w:rPr>
              <w:t>edTPA</w:t>
            </w:r>
            <w:proofErr w:type="spellEnd"/>
            <w:r w:rsidR="00325A86">
              <w:rPr>
                <w:rFonts w:ascii="Arial" w:eastAsia="Arial" w:hAnsi="Arial" w:cs="Arial"/>
                <w:sz w:val="20"/>
                <w:szCs w:val="20"/>
              </w:rPr>
              <w:t xml:space="preserve">, during </w:t>
            </w:r>
            <w:r w:rsidR="00B7131F">
              <w:rPr>
                <w:rFonts w:ascii="Arial" w:eastAsia="Arial" w:hAnsi="Arial" w:cs="Arial"/>
                <w:sz w:val="20"/>
                <w:szCs w:val="20"/>
              </w:rPr>
              <w:t xml:space="preserve">beginning, middle and end </w:t>
            </w:r>
            <w:r w:rsidR="00325A86">
              <w:rPr>
                <w:rFonts w:ascii="Arial" w:eastAsia="Arial" w:hAnsi="Arial" w:cs="Arial"/>
                <w:sz w:val="20"/>
                <w:szCs w:val="20"/>
              </w:rPr>
              <w:t xml:space="preserve">stages of their program where they </w:t>
            </w:r>
            <w:r w:rsidR="00FD4461">
              <w:rPr>
                <w:rFonts w:ascii="Arial" w:eastAsia="Arial" w:hAnsi="Arial" w:cs="Arial"/>
                <w:sz w:val="20"/>
                <w:szCs w:val="20"/>
              </w:rPr>
              <w:t xml:space="preserve">demonstrate their </w:t>
            </w:r>
            <w:r w:rsidR="00325A86">
              <w:rPr>
                <w:rFonts w:ascii="Arial" w:eastAsia="Arial" w:hAnsi="Arial" w:cs="Arial"/>
                <w:sz w:val="20"/>
                <w:szCs w:val="20"/>
              </w:rPr>
              <w:t>Planning, Instruction, and Assessment</w:t>
            </w:r>
            <w:r w:rsidR="00E17A91">
              <w:rPr>
                <w:rFonts w:ascii="Arial" w:eastAsia="Arial" w:hAnsi="Arial" w:cs="Arial"/>
                <w:sz w:val="20"/>
                <w:szCs w:val="20"/>
              </w:rPr>
              <w:t xml:space="preserve"> skills</w:t>
            </w:r>
            <w:r w:rsidR="00325A86">
              <w:rPr>
                <w:rFonts w:ascii="Arial" w:eastAsia="Arial" w:hAnsi="Arial" w:cs="Arial"/>
                <w:sz w:val="20"/>
                <w:szCs w:val="20"/>
              </w:rPr>
              <w:t xml:space="preserve">.  </w:t>
            </w:r>
          </w:p>
        </w:tc>
      </w:tr>
      <w:tr w:rsidR="00FB0310" w14:paraId="2F2DF7CD" w14:textId="77777777" w:rsidTr="005607CB">
        <w:trPr>
          <w:trHeight w:val="420"/>
        </w:trPr>
        <w:tc>
          <w:tcPr>
            <w:tcW w:w="5000" w:type="pct"/>
            <w:shd w:val="clear" w:color="auto" w:fill="FFFFFF"/>
          </w:tcPr>
          <w:p w14:paraId="79182AC6" w14:textId="77777777" w:rsidR="00FB0310" w:rsidRDefault="000457E7" w:rsidP="005607CB">
            <w:pPr>
              <w:ind w:left="240" w:hanging="240"/>
              <w:rPr>
                <w:rFonts w:ascii="Arial" w:eastAsia="Arial" w:hAnsi="Arial" w:cs="Arial"/>
                <w:sz w:val="20"/>
                <w:szCs w:val="20"/>
              </w:rPr>
            </w:pPr>
            <w:r>
              <w:rPr>
                <w:rFonts w:ascii="Arial" w:eastAsia="Arial" w:hAnsi="Arial" w:cs="Arial"/>
                <w:sz w:val="20"/>
                <w:szCs w:val="20"/>
              </w:rPr>
              <w:t>8. Employment (and/or more schooling) rates for immediate prior year’s completers, if known. Comment on means of accessing this information and challenges encountered in gathering this information.</w:t>
            </w:r>
          </w:p>
        </w:tc>
      </w:tr>
      <w:tr w:rsidR="00FB0310" w14:paraId="308CFB77" w14:textId="77777777" w:rsidTr="005607CB">
        <w:trPr>
          <w:trHeight w:val="420"/>
        </w:trPr>
        <w:tc>
          <w:tcPr>
            <w:tcW w:w="5000" w:type="pct"/>
            <w:shd w:val="clear" w:color="auto" w:fill="D0E0E3"/>
          </w:tcPr>
          <w:p w14:paraId="54006591" w14:textId="77777777" w:rsidR="00CC159E" w:rsidRDefault="00CC159E">
            <w:pPr>
              <w:rPr>
                <w:rFonts w:ascii="Arial" w:eastAsia="Arial" w:hAnsi="Arial" w:cs="Arial"/>
                <w:sz w:val="20"/>
                <w:szCs w:val="20"/>
              </w:rPr>
            </w:pPr>
            <w:r>
              <w:rPr>
                <w:rFonts w:ascii="Arial" w:eastAsia="Arial" w:hAnsi="Arial" w:cs="Arial"/>
                <w:sz w:val="20"/>
                <w:szCs w:val="20"/>
              </w:rPr>
              <w:t xml:space="preserve">The State of Minnesota’s Professional Educator Licensing and Standards Board (PELSB) releases an Employment Educator Report each spring for Minnesota State Colleges and Universities. Employment rates can be calculated for newly licensed Minnesota graduates based on the information released on the report. </w:t>
            </w:r>
          </w:p>
          <w:p w14:paraId="328E6A5E" w14:textId="77777777" w:rsidR="00CC159E" w:rsidRDefault="00CC159E">
            <w:pPr>
              <w:rPr>
                <w:rFonts w:ascii="Arial" w:eastAsia="Arial" w:hAnsi="Arial" w:cs="Arial"/>
                <w:sz w:val="20"/>
                <w:szCs w:val="20"/>
              </w:rPr>
            </w:pPr>
          </w:p>
          <w:p w14:paraId="11882F58" w14:textId="36B8865B" w:rsidR="00FB0310" w:rsidRDefault="00CC159E">
            <w:pPr>
              <w:rPr>
                <w:rFonts w:ascii="Arial" w:eastAsia="Arial" w:hAnsi="Arial" w:cs="Arial"/>
                <w:sz w:val="20"/>
                <w:szCs w:val="20"/>
              </w:rPr>
            </w:pPr>
            <w:r>
              <w:rPr>
                <w:rFonts w:ascii="Arial" w:eastAsia="Arial" w:hAnsi="Arial" w:cs="Arial"/>
                <w:sz w:val="20"/>
                <w:szCs w:val="20"/>
              </w:rPr>
              <w:t xml:space="preserve">Unfortunately, due to dealing with COVID-19 related issues, PELSB has not yet released this Employment Educator Report. Minnesota institutions were </w:t>
            </w:r>
            <w:r w:rsidR="006621A5">
              <w:rPr>
                <w:rFonts w:ascii="Arial" w:eastAsia="Arial" w:hAnsi="Arial" w:cs="Arial"/>
                <w:sz w:val="20"/>
                <w:szCs w:val="20"/>
              </w:rPr>
              <w:t>assured that</w:t>
            </w:r>
            <w:r>
              <w:rPr>
                <w:rFonts w:ascii="Arial" w:eastAsia="Arial" w:hAnsi="Arial" w:cs="Arial"/>
                <w:sz w:val="20"/>
                <w:szCs w:val="20"/>
              </w:rPr>
              <w:t xml:space="preserve"> this report would be available at the beginning of April, but it has not been updated as of April 30th, despite multiple requests. </w:t>
            </w:r>
          </w:p>
        </w:tc>
      </w:tr>
    </w:tbl>
    <w:p w14:paraId="2B97DC6C" w14:textId="77777777" w:rsidR="00FB0310" w:rsidRDefault="00FB0310"/>
    <w:p w14:paraId="7BEFED0E" w14:textId="77777777" w:rsidR="00FB0310" w:rsidRPr="005607CB" w:rsidRDefault="000457E7">
      <w:pPr>
        <w:numPr>
          <w:ilvl w:val="0"/>
          <w:numId w:val="2"/>
        </w:numPr>
        <w:ind w:left="360"/>
        <w:rPr>
          <w:b/>
          <w:sz w:val="24"/>
          <w:szCs w:val="24"/>
        </w:rPr>
      </w:pPr>
      <w:r w:rsidRPr="005607CB">
        <w:rPr>
          <w:b/>
          <w:sz w:val="24"/>
          <w:szCs w:val="24"/>
        </w:rPr>
        <w:lastRenderedPageBreak/>
        <w:t>Candidate Academic Performance Indicators</w:t>
      </w:r>
    </w:p>
    <w:p w14:paraId="3E66196A" w14:textId="77777777" w:rsidR="00FB0310" w:rsidRPr="005607CB" w:rsidRDefault="000457E7">
      <w:pPr>
        <w:rPr>
          <w:sz w:val="24"/>
          <w:szCs w:val="24"/>
        </w:rPr>
      </w:pPr>
      <w:r w:rsidRPr="005607CB">
        <w:rPr>
          <w:sz w:val="24"/>
          <w:szCs w:val="24"/>
        </w:rPr>
        <w:t>This section reports on your own expectations for candidate/completer performance and indicators of their success in meeting those expectations. For each of AAQEP’s Candidate and Completer Performance Standards (Standards 1 and 2), please specify 3 to 5 expectations in Table 4.1 and:</w:t>
      </w:r>
    </w:p>
    <w:p w14:paraId="6DE9BD90" w14:textId="77777777" w:rsidR="00FB0310" w:rsidRPr="005607CB" w:rsidRDefault="000457E7">
      <w:pPr>
        <w:numPr>
          <w:ilvl w:val="0"/>
          <w:numId w:val="1"/>
        </w:numPr>
        <w:rPr>
          <w:sz w:val="24"/>
          <w:szCs w:val="24"/>
        </w:rPr>
      </w:pPr>
      <w:r w:rsidRPr="005607CB">
        <w:rPr>
          <w:sz w:val="24"/>
          <w:szCs w:val="24"/>
        </w:rPr>
        <w:t>List your chosen measures of performance (these may be taken from your Quality Assurance Report)</w:t>
      </w:r>
    </w:p>
    <w:p w14:paraId="3B1A3726" w14:textId="77777777" w:rsidR="00FB0310" w:rsidRPr="005607CB" w:rsidRDefault="000457E7">
      <w:pPr>
        <w:numPr>
          <w:ilvl w:val="0"/>
          <w:numId w:val="1"/>
        </w:numPr>
        <w:rPr>
          <w:sz w:val="24"/>
          <w:szCs w:val="24"/>
        </w:rPr>
      </w:pPr>
      <w:r w:rsidRPr="005607CB">
        <w:rPr>
          <w:sz w:val="24"/>
          <w:szCs w:val="24"/>
        </w:rPr>
        <w:t>Indicate the performance expectations for each measure (i.e. your definition of minimally adequate performance, though you may also specify other levels of performance as well)</w:t>
      </w:r>
    </w:p>
    <w:p w14:paraId="77C26DC4" w14:textId="77777777" w:rsidR="00FB0310" w:rsidRPr="005607CB" w:rsidRDefault="000457E7">
      <w:pPr>
        <w:numPr>
          <w:ilvl w:val="0"/>
          <w:numId w:val="1"/>
        </w:numPr>
        <w:spacing w:after="200"/>
        <w:rPr>
          <w:sz w:val="24"/>
          <w:szCs w:val="24"/>
        </w:rPr>
      </w:pPr>
      <w:r w:rsidRPr="005607CB">
        <w:rPr>
          <w:sz w:val="24"/>
          <w:szCs w:val="24"/>
        </w:rPr>
        <w:t>Summarize candidate/completer success in relation to those expectations</w:t>
      </w:r>
    </w:p>
    <w:p w14:paraId="78F9E48C" w14:textId="77777777" w:rsidR="00FB0310" w:rsidRDefault="000457E7">
      <w:pPr>
        <w:rPr>
          <w:b/>
        </w:rPr>
      </w:pPr>
      <w:r>
        <w:rPr>
          <w:b/>
        </w:rPr>
        <w:t>Table 3. Academic Performance Expectations and Level of Success</w:t>
      </w:r>
    </w:p>
    <w:tbl>
      <w:tblPr>
        <w:tblStyle w:val="a2"/>
        <w:tblW w:w="5099" w:type="pc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52"/>
        <w:gridCol w:w="2184"/>
        <w:gridCol w:w="2967"/>
        <w:gridCol w:w="3532"/>
      </w:tblGrid>
      <w:tr w:rsidR="00FB0310" w14:paraId="4C960A05" w14:textId="77777777" w:rsidTr="00B5307F">
        <w:trPr>
          <w:trHeight w:val="420"/>
        </w:trPr>
        <w:tc>
          <w:tcPr>
            <w:tcW w:w="447" w:type="pct"/>
            <w:shd w:val="clear" w:color="auto" w:fill="FFFFFF"/>
          </w:tcPr>
          <w:p w14:paraId="25C1C1E0" w14:textId="77777777" w:rsidR="00FB0310" w:rsidRDefault="000457E7">
            <w:pPr>
              <w:jc w:val="center"/>
              <w:rPr>
                <w:rFonts w:ascii="Arial" w:eastAsia="Arial" w:hAnsi="Arial" w:cs="Arial"/>
                <w:b/>
                <w:sz w:val="22"/>
                <w:szCs w:val="22"/>
              </w:rPr>
            </w:pPr>
            <w:r>
              <w:rPr>
                <w:rFonts w:ascii="Arial" w:eastAsia="Arial" w:hAnsi="Arial" w:cs="Arial"/>
                <w:b/>
                <w:sz w:val="22"/>
                <w:szCs w:val="22"/>
              </w:rPr>
              <w:t>Std.</w:t>
            </w:r>
          </w:p>
        </w:tc>
        <w:tc>
          <w:tcPr>
            <w:tcW w:w="1145" w:type="pct"/>
            <w:shd w:val="clear" w:color="auto" w:fill="FFFFFF"/>
          </w:tcPr>
          <w:p w14:paraId="15378153" w14:textId="77777777" w:rsidR="00FB0310" w:rsidRDefault="000457E7">
            <w:pPr>
              <w:rPr>
                <w:rFonts w:ascii="Arial" w:eastAsia="Arial" w:hAnsi="Arial" w:cs="Arial"/>
                <w:b/>
                <w:sz w:val="22"/>
                <w:szCs w:val="22"/>
              </w:rPr>
            </w:pPr>
            <w:r>
              <w:rPr>
                <w:rFonts w:ascii="Arial" w:eastAsia="Arial" w:hAnsi="Arial" w:cs="Arial"/>
                <w:b/>
                <w:sz w:val="22"/>
                <w:szCs w:val="22"/>
              </w:rPr>
              <w:t>Provider-Selected Measures</w:t>
            </w:r>
          </w:p>
        </w:tc>
        <w:tc>
          <w:tcPr>
            <w:tcW w:w="1556" w:type="pct"/>
            <w:shd w:val="clear" w:color="auto" w:fill="FFFFFF"/>
          </w:tcPr>
          <w:p w14:paraId="0D69038E" w14:textId="77777777" w:rsidR="00FB0310" w:rsidRDefault="000457E7">
            <w:pPr>
              <w:rPr>
                <w:rFonts w:ascii="Arial" w:eastAsia="Arial" w:hAnsi="Arial" w:cs="Arial"/>
                <w:b/>
                <w:sz w:val="22"/>
                <w:szCs w:val="22"/>
              </w:rPr>
            </w:pPr>
            <w:r>
              <w:rPr>
                <w:rFonts w:ascii="Arial" w:eastAsia="Arial" w:hAnsi="Arial" w:cs="Arial"/>
                <w:b/>
                <w:sz w:val="22"/>
                <w:szCs w:val="22"/>
              </w:rPr>
              <w:t>Explanation of Performance Expectation</w:t>
            </w:r>
          </w:p>
        </w:tc>
        <w:tc>
          <w:tcPr>
            <w:tcW w:w="1852" w:type="pct"/>
            <w:shd w:val="clear" w:color="auto" w:fill="FFFFFF"/>
          </w:tcPr>
          <w:p w14:paraId="10BA0D1F" w14:textId="77777777" w:rsidR="00FB0310" w:rsidRDefault="000457E7">
            <w:pPr>
              <w:rPr>
                <w:rFonts w:ascii="Arial" w:eastAsia="Arial" w:hAnsi="Arial" w:cs="Arial"/>
                <w:b/>
                <w:sz w:val="22"/>
                <w:szCs w:val="22"/>
              </w:rPr>
            </w:pPr>
            <w:r>
              <w:rPr>
                <w:rFonts w:ascii="Arial" w:eastAsia="Arial" w:hAnsi="Arial" w:cs="Arial"/>
                <w:b/>
                <w:sz w:val="22"/>
                <w:szCs w:val="22"/>
              </w:rPr>
              <w:t>Level or Extent of Success in Meeting the Expectation</w:t>
            </w:r>
          </w:p>
        </w:tc>
      </w:tr>
      <w:tr w:rsidR="00FB0310" w14:paraId="63A2419D" w14:textId="77777777" w:rsidTr="00FD0C09">
        <w:trPr>
          <w:trHeight w:val="5488"/>
        </w:trPr>
        <w:tc>
          <w:tcPr>
            <w:tcW w:w="447" w:type="pct"/>
            <w:shd w:val="clear" w:color="auto" w:fill="FFFFFF"/>
          </w:tcPr>
          <w:p w14:paraId="330B3EA7" w14:textId="77777777" w:rsidR="00FB0310" w:rsidRDefault="000457E7">
            <w:pPr>
              <w:jc w:val="center"/>
              <w:rPr>
                <w:rFonts w:ascii="Arial" w:eastAsia="Arial" w:hAnsi="Arial" w:cs="Arial"/>
                <w:b/>
                <w:sz w:val="20"/>
                <w:szCs w:val="20"/>
              </w:rPr>
            </w:pPr>
            <w:r>
              <w:rPr>
                <w:rFonts w:ascii="Arial" w:eastAsia="Arial" w:hAnsi="Arial" w:cs="Arial"/>
                <w:b/>
                <w:sz w:val="20"/>
                <w:szCs w:val="20"/>
              </w:rPr>
              <w:t>1</w:t>
            </w:r>
          </w:p>
        </w:tc>
        <w:tc>
          <w:tcPr>
            <w:tcW w:w="1145" w:type="pct"/>
            <w:shd w:val="clear" w:color="auto" w:fill="D0E0E3"/>
          </w:tcPr>
          <w:p w14:paraId="516F6888" w14:textId="4A0D26E2" w:rsidR="00FB0310" w:rsidRPr="00B5307F" w:rsidRDefault="00B5307F">
            <w:pPr>
              <w:rPr>
                <w:rFonts w:ascii="Arial" w:eastAsia="Arial" w:hAnsi="Arial" w:cs="Arial"/>
                <w:sz w:val="20"/>
                <w:szCs w:val="20"/>
              </w:rPr>
            </w:pPr>
            <w:r w:rsidRPr="002A5D67">
              <w:rPr>
                <w:rFonts w:ascii="Arial" w:eastAsia="Arial" w:hAnsi="Arial" w:cs="Arial"/>
                <w:sz w:val="20"/>
                <w:szCs w:val="20"/>
              </w:rPr>
              <w:t>MTLE</w:t>
            </w:r>
            <w:r w:rsidR="002A5D67">
              <w:rPr>
                <w:rFonts w:ascii="Arial" w:eastAsia="Arial" w:hAnsi="Arial" w:cs="Arial"/>
                <w:sz w:val="20"/>
                <w:szCs w:val="20"/>
              </w:rPr>
              <w:t xml:space="preserve"> Exams</w:t>
            </w:r>
          </w:p>
        </w:tc>
        <w:tc>
          <w:tcPr>
            <w:tcW w:w="1556" w:type="pct"/>
            <w:shd w:val="clear" w:color="auto" w:fill="D0E0E3"/>
          </w:tcPr>
          <w:p w14:paraId="1B227EC4" w14:textId="11295536" w:rsidR="00F7501B" w:rsidRDefault="00F7501B">
            <w:pPr>
              <w:rPr>
                <w:rFonts w:ascii="Arial" w:eastAsia="Arial" w:hAnsi="Arial" w:cs="Arial"/>
                <w:sz w:val="20"/>
                <w:szCs w:val="20"/>
              </w:rPr>
            </w:pPr>
            <w:r>
              <w:rPr>
                <w:rFonts w:ascii="Arial" w:eastAsia="Arial" w:hAnsi="Arial" w:cs="Arial"/>
                <w:sz w:val="20"/>
                <w:szCs w:val="20"/>
              </w:rPr>
              <w:t>Candidates are required to take the NES exams but are not required to pass them. Candidates are expected to take and pass the pedagogy and content exams before program completion.</w:t>
            </w:r>
          </w:p>
          <w:p w14:paraId="3A09F768" w14:textId="1F61FA11" w:rsidR="00B5307F" w:rsidRPr="00B5307F" w:rsidRDefault="00B5307F">
            <w:pPr>
              <w:rPr>
                <w:rFonts w:ascii="Arial" w:eastAsia="Arial" w:hAnsi="Arial" w:cs="Arial"/>
                <w:sz w:val="20"/>
                <w:szCs w:val="20"/>
              </w:rPr>
            </w:pPr>
          </w:p>
        </w:tc>
        <w:tc>
          <w:tcPr>
            <w:tcW w:w="1852" w:type="pct"/>
            <w:shd w:val="clear" w:color="auto" w:fill="D0E0E3"/>
          </w:tcPr>
          <w:p w14:paraId="40905E31" w14:textId="77777777" w:rsidR="00FB0310" w:rsidRDefault="00F7501B">
            <w:pPr>
              <w:rPr>
                <w:rFonts w:ascii="Arial" w:eastAsia="Arial" w:hAnsi="Arial" w:cs="Arial"/>
                <w:sz w:val="20"/>
                <w:szCs w:val="20"/>
              </w:rPr>
            </w:pPr>
            <w:r>
              <w:rPr>
                <w:rFonts w:ascii="Arial" w:eastAsia="Arial" w:hAnsi="Arial" w:cs="Arial"/>
                <w:sz w:val="20"/>
                <w:szCs w:val="20"/>
              </w:rPr>
              <w:t xml:space="preserve">Candidates are not able to apply </w:t>
            </w:r>
            <w:r w:rsidR="00FD0C09">
              <w:rPr>
                <w:rFonts w:ascii="Arial" w:eastAsia="Arial" w:hAnsi="Arial" w:cs="Arial"/>
                <w:sz w:val="20"/>
                <w:szCs w:val="20"/>
              </w:rPr>
              <w:t>into</w:t>
            </w:r>
            <w:r>
              <w:rPr>
                <w:rFonts w:ascii="Arial" w:eastAsia="Arial" w:hAnsi="Arial" w:cs="Arial"/>
                <w:sz w:val="20"/>
                <w:szCs w:val="20"/>
              </w:rPr>
              <w:t xml:space="preserve"> the program until they </w:t>
            </w:r>
            <w:r w:rsidR="00FD0C09">
              <w:rPr>
                <w:rFonts w:ascii="Arial" w:eastAsia="Arial" w:hAnsi="Arial" w:cs="Arial"/>
                <w:sz w:val="20"/>
                <w:szCs w:val="20"/>
              </w:rPr>
              <w:t xml:space="preserve">have </w:t>
            </w:r>
            <w:r>
              <w:rPr>
                <w:rFonts w:ascii="Arial" w:eastAsia="Arial" w:hAnsi="Arial" w:cs="Arial"/>
                <w:sz w:val="20"/>
                <w:szCs w:val="20"/>
              </w:rPr>
              <w:t>show</w:t>
            </w:r>
            <w:r w:rsidR="00FD0C09">
              <w:rPr>
                <w:rFonts w:ascii="Arial" w:eastAsia="Arial" w:hAnsi="Arial" w:cs="Arial"/>
                <w:sz w:val="20"/>
                <w:szCs w:val="20"/>
              </w:rPr>
              <w:t>n</w:t>
            </w:r>
            <w:r>
              <w:rPr>
                <w:rFonts w:ascii="Arial" w:eastAsia="Arial" w:hAnsi="Arial" w:cs="Arial"/>
                <w:sz w:val="20"/>
                <w:szCs w:val="20"/>
              </w:rPr>
              <w:t xml:space="preserve"> proof that they have taken either the NES exams or a</w:t>
            </w:r>
            <w:r w:rsidR="00FD0C09">
              <w:rPr>
                <w:rFonts w:ascii="Arial" w:eastAsia="Arial" w:hAnsi="Arial" w:cs="Arial"/>
                <w:sz w:val="20"/>
                <w:szCs w:val="20"/>
              </w:rPr>
              <w:t>n alternative, PELSB approved, test has been completed such as the ACT with English/Writing.</w:t>
            </w:r>
          </w:p>
          <w:p w14:paraId="23868F1D" w14:textId="29804541" w:rsidR="00FD0C09" w:rsidRDefault="00FD0C09">
            <w:pPr>
              <w:rPr>
                <w:rFonts w:ascii="Arial" w:eastAsia="Arial" w:hAnsi="Arial" w:cs="Arial"/>
                <w:sz w:val="20"/>
                <w:szCs w:val="20"/>
              </w:rPr>
            </w:pPr>
            <w:r>
              <w:rPr>
                <w:rFonts w:ascii="Arial" w:eastAsia="Arial" w:hAnsi="Arial" w:cs="Arial"/>
                <w:sz w:val="20"/>
                <w:szCs w:val="20"/>
              </w:rPr>
              <w:t>Pedagogy and Content Exams are expected to be taken and passed before completing the program; however, a candidate could choose to wait to take these exams until after graduation. Our Licensing Officer does not recommend</w:t>
            </w:r>
            <w:r w:rsidR="00AD61C1">
              <w:rPr>
                <w:rFonts w:ascii="Arial" w:eastAsia="Arial" w:hAnsi="Arial" w:cs="Arial"/>
                <w:sz w:val="20"/>
                <w:szCs w:val="20"/>
              </w:rPr>
              <w:t xml:space="preserve"> a teacher candidate</w:t>
            </w:r>
            <w:r>
              <w:rPr>
                <w:rFonts w:ascii="Arial" w:eastAsia="Arial" w:hAnsi="Arial" w:cs="Arial"/>
                <w:sz w:val="20"/>
                <w:szCs w:val="20"/>
              </w:rPr>
              <w:t xml:space="preserve"> for licensure until they have passed the required tests. </w:t>
            </w:r>
          </w:p>
          <w:p w14:paraId="1A53A72B" w14:textId="597AC5BB" w:rsidR="00FD0C09" w:rsidRDefault="00FD0C09">
            <w:pPr>
              <w:rPr>
                <w:rFonts w:ascii="Arial" w:eastAsia="Arial" w:hAnsi="Arial" w:cs="Arial"/>
                <w:sz w:val="20"/>
                <w:szCs w:val="20"/>
              </w:rPr>
            </w:pPr>
            <w:r>
              <w:rPr>
                <w:rFonts w:ascii="Arial" w:eastAsia="Arial" w:hAnsi="Arial" w:cs="Arial"/>
                <w:sz w:val="20"/>
                <w:szCs w:val="20"/>
              </w:rPr>
              <w:t xml:space="preserve">In 2018-2019, pass rates for the Pedagogy Elementary and Secondary two subtests were the following: </w:t>
            </w:r>
          </w:p>
          <w:tbl>
            <w:tblPr>
              <w:tblStyle w:val="TableGrid"/>
              <w:tblW w:w="0" w:type="auto"/>
              <w:tblLook w:val="04A0" w:firstRow="1" w:lastRow="0" w:firstColumn="1" w:lastColumn="0" w:noHBand="0" w:noVBand="1"/>
            </w:tblPr>
            <w:tblGrid>
              <w:gridCol w:w="1365"/>
              <w:gridCol w:w="997"/>
              <w:gridCol w:w="930"/>
            </w:tblGrid>
            <w:tr w:rsidR="00FD0C09" w14:paraId="331A20E1" w14:textId="77777777" w:rsidTr="00FD0C09">
              <w:tc>
                <w:tcPr>
                  <w:tcW w:w="1390" w:type="dxa"/>
                </w:tcPr>
                <w:p w14:paraId="1171EAFE" w14:textId="723061AC" w:rsidR="00FD0C09" w:rsidRPr="00F15C7E" w:rsidRDefault="00FD0C09">
                  <w:pPr>
                    <w:rPr>
                      <w:b/>
                      <w:bCs/>
                      <w:sz w:val="20"/>
                      <w:szCs w:val="20"/>
                    </w:rPr>
                  </w:pPr>
                  <w:r w:rsidRPr="00F15C7E">
                    <w:rPr>
                      <w:b/>
                      <w:bCs/>
                      <w:sz w:val="20"/>
                      <w:szCs w:val="20"/>
                    </w:rPr>
                    <w:t>Exam</w:t>
                  </w:r>
                </w:p>
              </w:tc>
              <w:tc>
                <w:tcPr>
                  <w:tcW w:w="1022" w:type="dxa"/>
                </w:tcPr>
                <w:p w14:paraId="5A50D08A" w14:textId="54C3A0A0" w:rsidR="00FD0C09" w:rsidRPr="00F15C7E" w:rsidRDefault="00FD0C09">
                  <w:pPr>
                    <w:rPr>
                      <w:b/>
                      <w:bCs/>
                      <w:sz w:val="20"/>
                      <w:szCs w:val="20"/>
                    </w:rPr>
                  </w:pPr>
                  <w:r w:rsidRPr="00F15C7E">
                    <w:rPr>
                      <w:b/>
                      <w:bCs/>
                      <w:sz w:val="20"/>
                      <w:szCs w:val="20"/>
                    </w:rPr>
                    <w:t># of Takers</w:t>
                  </w:r>
                </w:p>
              </w:tc>
              <w:tc>
                <w:tcPr>
                  <w:tcW w:w="975" w:type="dxa"/>
                </w:tcPr>
                <w:p w14:paraId="695D15CC" w14:textId="5CDC9E21" w:rsidR="00FD0C09" w:rsidRPr="00F15C7E" w:rsidRDefault="00FD0C09">
                  <w:pPr>
                    <w:rPr>
                      <w:b/>
                      <w:bCs/>
                      <w:sz w:val="20"/>
                      <w:szCs w:val="20"/>
                    </w:rPr>
                  </w:pPr>
                  <w:r w:rsidRPr="00F15C7E">
                    <w:rPr>
                      <w:b/>
                      <w:bCs/>
                      <w:sz w:val="20"/>
                      <w:szCs w:val="20"/>
                    </w:rPr>
                    <w:t>Pass Rate</w:t>
                  </w:r>
                </w:p>
              </w:tc>
            </w:tr>
            <w:tr w:rsidR="00FD0C09" w14:paraId="16CE6E3D" w14:textId="77777777" w:rsidTr="00FD0C09">
              <w:tc>
                <w:tcPr>
                  <w:tcW w:w="1390" w:type="dxa"/>
                </w:tcPr>
                <w:p w14:paraId="0C6C358D" w14:textId="341EEA3D" w:rsidR="00FD0C09" w:rsidRDefault="00FD0C09">
                  <w:pPr>
                    <w:rPr>
                      <w:sz w:val="20"/>
                      <w:szCs w:val="20"/>
                    </w:rPr>
                  </w:pPr>
                  <w:r>
                    <w:rPr>
                      <w:sz w:val="20"/>
                      <w:szCs w:val="20"/>
                    </w:rPr>
                    <w:t>Pedagogy: Elementary</w:t>
                  </w:r>
                </w:p>
              </w:tc>
              <w:tc>
                <w:tcPr>
                  <w:tcW w:w="1022" w:type="dxa"/>
                </w:tcPr>
                <w:p w14:paraId="2E4F2596" w14:textId="04DF1B34" w:rsidR="00FD0C09" w:rsidRDefault="00FD0C09">
                  <w:pPr>
                    <w:rPr>
                      <w:sz w:val="20"/>
                      <w:szCs w:val="20"/>
                    </w:rPr>
                  </w:pPr>
                  <w:r>
                    <w:rPr>
                      <w:sz w:val="20"/>
                      <w:szCs w:val="20"/>
                    </w:rPr>
                    <w:t>114</w:t>
                  </w:r>
                </w:p>
              </w:tc>
              <w:tc>
                <w:tcPr>
                  <w:tcW w:w="975" w:type="dxa"/>
                </w:tcPr>
                <w:p w14:paraId="2D61AA49" w14:textId="37B928E6" w:rsidR="00FD0C09" w:rsidRDefault="00FD0C09">
                  <w:pPr>
                    <w:rPr>
                      <w:sz w:val="20"/>
                      <w:szCs w:val="20"/>
                    </w:rPr>
                  </w:pPr>
                  <w:r>
                    <w:rPr>
                      <w:sz w:val="20"/>
                      <w:szCs w:val="20"/>
                    </w:rPr>
                    <w:t>82%</w:t>
                  </w:r>
                </w:p>
              </w:tc>
            </w:tr>
            <w:tr w:rsidR="00FD0C09" w14:paraId="4A5BB778" w14:textId="77777777" w:rsidTr="00FD0C09">
              <w:tc>
                <w:tcPr>
                  <w:tcW w:w="1390" w:type="dxa"/>
                </w:tcPr>
                <w:p w14:paraId="0867EB16" w14:textId="078CB54E" w:rsidR="00FD0C09" w:rsidRDefault="00FD0C09">
                  <w:pPr>
                    <w:rPr>
                      <w:sz w:val="20"/>
                      <w:szCs w:val="20"/>
                    </w:rPr>
                  </w:pPr>
                  <w:r>
                    <w:rPr>
                      <w:sz w:val="20"/>
                      <w:szCs w:val="20"/>
                    </w:rPr>
                    <w:t>Pedagogy: Secondary</w:t>
                  </w:r>
                </w:p>
              </w:tc>
              <w:tc>
                <w:tcPr>
                  <w:tcW w:w="1022" w:type="dxa"/>
                </w:tcPr>
                <w:p w14:paraId="15B26511" w14:textId="07089CBE" w:rsidR="00FD0C09" w:rsidRDefault="00FD0C09">
                  <w:pPr>
                    <w:rPr>
                      <w:sz w:val="20"/>
                      <w:szCs w:val="20"/>
                    </w:rPr>
                  </w:pPr>
                  <w:r>
                    <w:rPr>
                      <w:sz w:val="20"/>
                      <w:szCs w:val="20"/>
                    </w:rPr>
                    <w:t>55</w:t>
                  </w:r>
                </w:p>
              </w:tc>
              <w:tc>
                <w:tcPr>
                  <w:tcW w:w="975" w:type="dxa"/>
                </w:tcPr>
                <w:p w14:paraId="77DBE7E2" w14:textId="72E98E36" w:rsidR="00FD0C09" w:rsidRDefault="00FD0C09">
                  <w:pPr>
                    <w:rPr>
                      <w:sz w:val="20"/>
                      <w:szCs w:val="20"/>
                    </w:rPr>
                  </w:pPr>
                  <w:r>
                    <w:rPr>
                      <w:sz w:val="20"/>
                      <w:szCs w:val="20"/>
                    </w:rPr>
                    <w:t>98%</w:t>
                  </w:r>
                </w:p>
              </w:tc>
            </w:tr>
          </w:tbl>
          <w:p w14:paraId="2B652DFE" w14:textId="7C5314D8" w:rsidR="00FD0C09" w:rsidRPr="00B5307F" w:rsidRDefault="00FD0C09">
            <w:pPr>
              <w:rPr>
                <w:rFonts w:ascii="Arial" w:eastAsia="Arial" w:hAnsi="Arial" w:cs="Arial"/>
                <w:sz w:val="20"/>
                <w:szCs w:val="20"/>
              </w:rPr>
            </w:pPr>
          </w:p>
        </w:tc>
      </w:tr>
      <w:tr w:rsidR="00B5307F" w14:paraId="0D27A015" w14:textId="77777777" w:rsidTr="00B5307F">
        <w:trPr>
          <w:trHeight w:val="420"/>
        </w:trPr>
        <w:tc>
          <w:tcPr>
            <w:tcW w:w="447" w:type="pct"/>
            <w:shd w:val="clear" w:color="auto" w:fill="FFFFFF"/>
          </w:tcPr>
          <w:p w14:paraId="176811A6" w14:textId="0B36875B" w:rsidR="00B5307F" w:rsidRDefault="00B5307F" w:rsidP="00B5307F">
            <w:pPr>
              <w:jc w:val="center"/>
              <w:rPr>
                <w:b/>
                <w:sz w:val="20"/>
                <w:szCs w:val="20"/>
              </w:rPr>
            </w:pPr>
            <w:r>
              <w:rPr>
                <w:rFonts w:ascii="Arial" w:eastAsia="Arial" w:hAnsi="Arial" w:cs="Arial"/>
                <w:b/>
                <w:sz w:val="20"/>
                <w:szCs w:val="20"/>
              </w:rPr>
              <w:t>1</w:t>
            </w:r>
          </w:p>
        </w:tc>
        <w:tc>
          <w:tcPr>
            <w:tcW w:w="1145" w:type="pct"/>
            <w:shd w:val="clear" w:color="auto" w:fill="D0E0E3"/>
          </w:tcPr>
          <w:p w14:paraId="0E79C6DA" w14:textId="45F3631C" w:rsidR="00B5307F" w:rsidRPr="00B5307F" w:rsidRDefault="00B5307F" w:rsidP="00B5307F">
            <w:pPr>
              <w:rPr>
                <w:rFonts w:ascii="Arial" w:hAnsi="Arial" w:cs="Arial"/>
                <w:sz w:val="20"/>
                <w:szCs w:val="20"/>
              </w:rPr>
            </w:pPr>
            <w:r w:rsidRPr="00B5307F">
              <w:rPr>
                <w:rFonts w:ascii="Arial" w:eastAsia="Arial" w:hAnsi="Arial" w:cs="Arial"/>
                <w:sz w:val="20"/>
                <w:szCs w:val="20"/>
              </w:rPr>
              <w:t>Key Assessments</w:t>
            </w:r>
          </w:p>
        </w:tc>
        <w:tc>
          <w:tcPr>
            <w:tcW w:w="1556" w:type="pct"/>
            <w:shd w:val="clear" w:color="auto" w:fill="D0E0E3"/>
          </w:tcPr>
          <w:p w14:paraId="70CE5FDA" w14:textId="79B6A4D2" w:rsidR="00B5307F" w:rsidRPr="00B5307F" w:rsidRDefault="00F7501B" w:rsidP="00B5307F">
            <w:pPr>
              <w:rPr>
                <w:rFonts w:ascii="Arial" w:hAnsi="Arial" w:cs="Arial"/>
                <w:sz w:val="20"/>
                <w:szCs w:val="20"/>
              </w:rPr>
            </w:pPr>
            <w:r>
              <w:rPr>
                <w:rFonts w:ascii="Arial" w:hAnsi="Arial" w:cs="Arial"/>
                <w:sz w:val="20"/>
                <w:szCs w:val="20"/>
              </w:rPr>
              <w:t>Candidates are expected to</w:t>
            </w:r>
            <w:r w:rsidR="00B5307F">
              <w:rPr>
                <w:rFonts w:ascii="Arial" w:hAnsi="Arial" w:cs="Arial"/>
                <w:sz w:val="20"/>
                <w:szCs w:val="20"/>
              </w:rPr>
              <w:t xml:space="preserve"> complete 3 Key Assessments </w:t>
            </w:r>
            <w:r>
              <w:rPr>
                <w:rFonts w:ascii="Arial" w:hAnsi="Arial" w:cs="Arial"/>
                <w:sz w:val="20"/>
                <w:szCs w:val="20"/>
              </w:rPr>
              <w:t>with</w:t>
            </w:r>
            <w:r w:rsidR="00B5307F">
              <w:rPr>
                <w:rFonts w:ascii="Arial" w:hAnsi="Arial" w:cs="Arial"/>
                <w:sz w:val="20"/>
                <w:szCs w:val="20"/>
              </w:rPr>
              <w:t>in their program</w:t>
            </w:r>
            <w:r>
              <w:rPr>
                <w:rFonts w:ascii="Arial" w:hAnsi="Arial" w:cs="Arial"/>
                <w:sz w:val="20"/>
                <w:szCs w:val="20"/>
              </w:rPr>
              <w:t>.</w:t>
            </w:r>
          </w:p>
        </w:tc>
        <w:tc>
          <w:tcPr>
            <w:tcW w:w="1852" w:type="pct"/>
            <w:shd w:val="clear" w:color="auto" w:fill="D0E0E3"/>
          </w:tcPr>
          <w:p w14:paraId="3840130D" w14:textId="5239471C" w:rsidR="00B5307F" w:rsidRPr="00B5307F" w:rsidRDefault="00F15C7E" w:rsidP="00B5307F">
            <w:pPr>
              <w:rPr>
                <w:rFonts w:ascii="Arial" w:hAnsi="Arial" w:cs="Arial"/>
                <w:sz w:val="20"/>
                <w:szCs w:val="20"/>
              </w:rPr>
            </w:pPr>
            <w:r>
              <w:rPr>
                <w:rFonts w:ascii="Arial" w:hAnsi="Arial" w:cs="Arial"/>
                <w:sz w:val="20"/>
                <w:szCs w:val="20"/>
              </w:rPr>
              <w:t xml:space="preserve">After BSU’s site visit with PELSB in Spring 2019, it was determined that the Key Assessments our programs had set in place were not in compliance with PELSB’s expectations. </w:t>
            </w:r>
            <w:r w:rsidR="00434623">
              <w:rPr>
                <w:rFonts w:ascii="Arial" w:hAnsi="Arial" w:cs="Arial"/>
                <w:sz w:val="20"/>
                <w:szCs w:val="20"/>
              </w:rPr>
              <w:t xml:space="preserve">Key Assessments are </w:t>
            </w:r>
            <w:r w:rsidR="00434623">
              <w:rPr>
                <w:rFonts w:ascii="Arial" w:hAnsi="Arial" w:cs="Arial"/>
                <w:sz w:val="20"/>
                <w:szCs w:val="20"/>
              </w:rPr>
              <w:lastRenderedPageBreak/>
              <w:t xml:space="preserve">defined as required assignments that provide us with data to identify needed program improvements. </w:t>
            </w:r>
            <w:r>
              <w:rPr>
                <w:rFonts w:ascii="Arial" w:hAnsi="Arial" w:cs="Arial"/>
                <w:sz w:val="20"/>
                <w:szCs w:val="20"/>
              </w:rPr>
              <w:t xml:space="preserve">We spent Fall 2019 restructuring these assessments so that our data will be more valuable and aligned for program analysis. However, it is department </w:t>
            </w:r>
            <w:r w:rsidR="00434623">
              <w:rPr>
                <w:rFonts w:ascii="Arial" w:hAnsi="Arial" w:cs="Arial"/>
                <w:sz w:val="20"/>
                <w:szCs w:val="20"/>
              </w:rPr>
              <w:t>procedure</w:t>
            </w:r>
            <w:r>
              <w:rPr>
                <w:rFonts w:ascii="Arial" w:hAnsi="Arial" w:cs="Arial"/>
                <w:sz w:val="20"/>
                <w:szCs w:val="20"/>
              </w:rPr>
              <w:t xml:space="preserve"> that if a candidate does not submit their Key Assessment within </w:t>
            </w:r>
            <w:proofErr w:type="spellStart"/>
            <w:r>
              <w:rPr>
                <w:rFonts w:ascii="Arial" w:hAnsi="Arial" w:cs="Arial"/>
                <w:sz w:val="20"/>
                <w:szCs w:val="20"/>
              </w:rPr>
              <w:t>Taskstream</w:t>
            </w:r>
            <w:proofErr w:type="spellEnd"/>
            <w:r>
              <w:rPr>
                <w:rFonts w:ascii="Arial" w:hAnsi="Arial" w:cs="Arial"/>
                <w:sz w:val="20"/>
                <w:szCs w:val="20"/>
              </w:rPr>
              <w:t xml:space="preserve"> </w:t>
            </w:r>
            <w:r w:rsidR="00D86A92">
              <w:rPr>
                <w:rFonts w:ascii="Arial" w:hAnsi="Arial" w:cs="Arial"/>
                <w:sz w:val="20"/>
                <w:szCs w:val="20"/>
              </w:rPr>
              <w:t>they</w:t>
            </w:r>
            <w:r w:rsidR="00B917F2">
              <w:rPr>
                <w:rFonts w:ascii="Arial" w:hAnsi="Arial" w:cs="Arial"/>
                <w:sz w:val="20"/>
                <w:szCs w:val="20"/>
              </w:rPr>
              <w:t xml:space="preserve"> </w:t>
            </w:r>
            <w:r w:rsidR="00D86A92">
              <w:rPr>
                <w:rFonts w:ascii="Arial" w:hAnsi="Arial" w:cs="Arial"/>
                <w:sz w:val="20"/>
                <w:szCs w:val="20"/>
              </w:rPr>
              <w:t xml:space="preserve">will </w:t>
            </w:r>
            <w:r>
              <w:rPr>
                <w:rFonts w:ascii="Arial" w:hAnsi="Arial" w:cs="Arial"/>
                <w:sz w:val="20"/>
                <w:szCs w:val="20"/>
              </w:rPr>
              <w:t xml:space="preserve">receive an Incomplete in the class, which must be </w:t>
            </w:r>
            <w:r w:rsidR="00144010">
              <w:rPr>
                <w:rFonts w:ascii="Arial" w:hAnsi="Arial" w:cs="Arial"/>
                <w:sz w:val="20"/>
                <w:szCs w:val="20"/>
              </w:rPr>
              <w:t xml:space="preserve">addressed </w:t>
            </w:r>
            <w:r w:rsidR="00A775F9">
              <w:rPr>
                <w:rFonts w:ascii="Arial" w:hAnsi="Arial" w:cs="Arial"/>
                <w:sz w:val="20"/>
                <w:szCs w:val="20"/>
              </w:rPr>
              <w:t xml:space="preserve">within </w:t>
            </w:r>
            <w:r w:rsidR="00A775F9" w:rsidRPr="002E6F1C">
              <w:rPr>
                <w:rFonts w:ascii="Arial" w:hAnsi="Arial" w:cs="Arial"/>
                <w:sz w:val="20"/>
                <w:szCs w:val="20"/>
              </w:rPr>
              <w:t xml:space="preserve">one </w:t>
            </w:r>
            <w:r w:rsidR="002E6F1C">
              <w:rPr>
                <w:rFonts w:ascii="Arial" w:hAnsi="Arial" w:cs="Arial"/>
                <w:sz w:val="20"/>
                <w:szCs w:val="20"/>
              </w:rPr>
              <w:t>regular term</w:t>
            </w:r>
            <w:r>
              <w:rPr>
                <w:rFonts w:ascii="Arial" w:hAnsi="Arial" w:cs="Arial"/>
                <w:sz w:val="20"/>
                <w:szCs w:val="20"/>
              </w:rPr>
              <w:t xml:space="preserve">. Therefore, we are confident that each candidate has completed the Key Assessments </w:t>
            </w:r>
            <w:r w:rsidRPr="00A775F9">
              <w:rPr>
                <w:rFonts w:ascii="Arial" w:hAnsi="Arial" w:cs="Arial"/>
                <w:sz w:val="20"/>
                <w:szCs w:val="20"/>
              </w:rPr>
              <w:t>within the designated</w:t>
            </w:r>
            <w:r w:rsidR="008509A1" w:rsidRPr="00A775F9">
              <w:rPr>
                <w:rFonts w:ascii="Arial" w:hAnsi="Arial" w:cs="Arial"/>
                <w:sz w:val="20"/>
                <w:szCs w:val="20"/>
              </w:rPr>
              <w:t xml:space="preserve"> program</w:t>
            </w:r>
            <w:r w:rsidRPr="00A775F9">
              <w:rPr>
                <w:rFonts w:ascii="Arial" w:hAnsi="Arial" w:cs="Arial"/>
                <w:sz w:val="20"/>
                <w:szCs w:val="20"/>
              </w:rPr>
              <w:t xml:space="preserve"> courses</w:t>
            </w:r>
            <w:r w:rsidR="00A775F9" w:rsidRPr="00A775F9">
              <w:rPr>
                <w:rFonts w:ascii="Arial" w:hAnsi="Arial" w:cs="Arial"/>
                <w:sz w:val="20"/>
                <w:szCs w:val="20"/>
              </w:rPr>
              <w:t xml:space="preserve"> by the time they graduate</w:t>
            </w:r>
            <w:r w:rsidRPr="00A775F9">
              <w:rPr>
                <w:rFonts w:ascii="Arial" w:hAnsi="Arial" w:cs="Arial"/>
                <w:sz w:val="20"/>
                <w:szCs w:val="20"/>
              </w:rPr>
              <w:t>.</w:t>
            </w:r>
            <w:r>
              <w:rPr>
                <w:rFonts w:ascii="Arial" w:hAnsi="Arial" w:cs="Arial"/>
                <w:sz w:val="20"/>
                <w:szCs w:val="20"/>
              </w:rPr>
              <w:t xml:space="preserve"> </w:t>
            </w:r>
          </w:p>
        </w:tc>
      </w:tr>
      <w:tr w:rsidR="00B5307F" w14:paraId="13C4F486" w14:textId="77777777" w:rsidTr="00B5307F">
        <w:trPr>
          <w:trHeight w:val="420"/>
        </w:trPr>
        <w:tc>
          <w:tcPr>
            <w:tcW w:w="447" w:type="pct"/>
            <w:shd w:val="clear" w:color="auto" w:fill="FFFFFF"/>
          </w:tcPr>
          <w:p w14:paraId="6FE8C044" w14:textId="252DF3BA" w:rsidR="00B5307F" w:rsidRDefault="00B5307F" w:rsidP="00B5307F">
            <w:pPr>
              <w:jc w:val="center"/>
              <w:rPr>
                <w:b/>
                <w:sz w:val="20"/>
                <w:szCs w:val="20"/>
              </w:rPr>
            </w:pPr>
            <w:r>
              <w:rPr>
                <w:rFonts w:ascii="Arial" w:eastAsia="Arial" w:hAnsi="Arial" w:cs="Arial"/>
                <w:b/>
                <w:sz w:val="20"/>
                <w:szCs w:val="20"/>
              </w:rPr>
              <w:lastRenderedPageBreak/>
              <w:t>1</w:t>
            </w:r>
          </w:p>
        </w:tc>
        <w:tc>
          <w:tcPr>
            <w:tcW w:w="1145" w:type="pct"/>
            <w:shd w:val="clear" w:color="auto" w:fill="D0E0E3"/>
          </w:tcPr>
          <w:p w14:paraId="4F24F121" w14:textId="6EEBF624" w:rsidR="00B5307F" w:rsidRPr="00B5307F" w:rsidRDefault="00B5307F" w:rsidP="00B5307F">
            <w:pPr>
              <w:rPr>
                <w:rFonts w:ascii="Arial" w:hAnsi="Arial" w:cs="Arial"/>
                <w:sz w:val="20"/>
                <w:szCs w:val="20"/>
              </w:rPr>
            </w:pPr>
            <w:r w:rsidRPr="00B5307F">
              <w:rPr>
                <w:rFonts w:ascii="Arial" w:eastAsia="Arial" w:hAnsi="Arial" w:cs="Arial"/>
                <w:sz w:val="20"/>
                <w:szCs w:val="20"/>
              </w:rPr>
              <w:t>Dispositions</w:t>
            </w:r>
          </w:p>
        </w:tc>
        <w:tc>
          <w:tcPr>
            <w:tcW w:w="1556" w:type="pct"/>
            <w:shd w:val="clear" w:color="auto" w:fill="D0E0E3"/>
          </w:tcPr>
          <w:p w14:paraId="574365B7" w14:textId="49A3C128" w:rsidR="00B5307F" w:rsidRPr="00B5307F" w:rsidRDefault="00A775F9" w:rsidP="00B5307F">
            <w:pPr>
              <w:rPr>
                <w:rFonts w:ascii="Arial" w:hAnsi="Arial" w:cs="Arial"/>
                <w:sz w:val="20"/>
                <w:szCs w:val="20"/>
              </w:rPr>
            </w:pPr>
            <w:r>
              <w:rPr>
                <w:rFonts w:ascii="Arial" w:hAnsi="Arial" w:cs="Arial"/>
                <w:sz w:val="20"/>
                <w:szCs w:val="20"/>
              </w:rPr>
              <w:t>Teacher c</w:t>
            </w:r>
            <w:r w:rsidR="00A37A44">
              <w:rPr>
                <w:rFonts w:ascii="Arial" w:hAnsi="Arial" w:cs="Arial"/>
                <w:sz w:val="20"/>
                <w:szCs w:val="20"/>
              </w:rPr>
              <w:t>andidates</w:t>
            </w:r>
            <w:r w:rsidR="00F7501B">
              <w:rPr>
                <w:rFonts w:ascii="Arial" w:hAnsi="Arial" w:cs="Arial"/>
                <w:sz w:val="20"/>
                <w:szCs w:val="20"/>
              </w:rPr>
              <w:t xml:space="preserve"> are expected to</w:t>
            </w:r>
            <w:r w:rsidR="00B5307F" w:rsidRPr="00B5307F">
              <w:rPr>
                <w:rFonts w:ascii="Arial" w:hAnsi="Arial" w:cs="Arial"/>
                <w:sz w:val="20"/>
                <w:szCs w:val="20"/>
              </w:rPr>
              <w:t xml:space="preserve"> receive an average Disposition score of 3.0 </w:t>
            </w:r>
            <w:r w:rsidR="002632BB">
              <w:rPr>
                <w:rFonts w:ascii="Arial" w:hAnsi="Arial" w:cs="Arial"/>
                <w:sz w:val="20"/>
                <w:szCs w:val="20"/>
              </w:rPr>
              <w:t xml:space="preserve">in order </w:t>
            </w:r>
            <w:r w:rsidR="00B5307F" w:rsidRPr="00B5307F">
              <w:rPr>
                <w:rFonts w:ascii="Arial" w:hAnsi="Arial" w:cs="Arial"/>
                <w:sz w:val="20"/>
                <w:szCs w:val="20"/>
              </w:rPr>
              <w:t>to student teach</w:t>
            </w:r>
            <w:r w:rsidR="00F7501B">
              <w:rPr>
                <w:rFonts w:ascii="Arial" w:hAnsi="Arial" w:cs="Arial"/>
                <w:sz w:val="20"/>
                <w:szCs w:val="20"/>
              </w:rPr>
              <w:t>.</w:t>
            </w:r>
          </w:p>
        </w:tc>
        <w:tc>
          <w:tcPr>
            <w:tcW w:w="1852" w:type="pct"/>
            <w:shd w:val="clear" w:color="auto" w:fill="D0E0E3"/>
          </w:tcPr>
          <w:p w14:paraId="4FA1F871" w14:textId="7326C151" w:rsidR="00B5307F" w:rsidRPr="00B5307F" w:rsidRDefault="00F15C7E" w:rsidP="00B5307F">
            <w:pPr>
              <w:rPr>
                <w:rFonts w:ascii="Arial" w:hAnsi="Arial" w:cs="Arial"/>
                <w:sz w:val="20"/>
                <w:szCs w:val="20"/>
              </w:rPr>
            </w:pPr>
            <w:r>
              <w:rPr>
                <w:rFonts w:ascii="Arial" w:hAnsi="Arial" w:cs="Arial"/>
                <w:sz w:val="20"/>
                <w:szCs w:val="20"/>
              </w:rPr>
              <w:t xml:space="preserve">Disposition Forms are sent to Cooperating Teachers after each Campus, </w:t>
            </w:r>
            <w:proofErr w:type="spellStart"/>
            <w:r>
              <w:rPr>
                <w:rFonts w:ascii="Arial" w:hAnsi="Arial" w:cs="Arial"/>
                <w:sz w:val="20"/>
                <w:szCs w:val="20"/>
              </w:rPr>
              <w:t>DLiTE</w:t>
            </w:r>
            <w:proofErr w:type="spellEnd"/>
            <w:r>
              <w:rPr>
                <w:rFonts w:ascii="Arial" w:hAnsi="Arial" w:cs="Arial"/>
                <w:sz w:val="20"/>
                <w:szCs w:val="20"/>
              </w:rPr>
              <w:t xml:space="preserve">, and </w:t>
            </w:r>
            <w:proofErr w:type="spellStart"/>
            <w:r>
              <w:rPr>
                <w:rFonts w:ascii="Arial" w:hAnsi="Arial" w:cs="Arial"/>
                <w:sz w:val="20"/>
                <w:szCs w:val="20"/>
              </w:rPr>
              <w:t>FasTrack</w:t>
            </w:r>
            <w:proofErr w:type="spellEnd"/>
            <w:r>
              <w:rPr>
                <w:rFonts w:ascii="Arial" w:hAnsi="Arial" w:cs="Arial"/>
                <w:sz w:val="20"/>
                <w:szCs w:val="20"/>
              </w:rPr>
              <w:t xml:space="preserve"> candidate’s placement. They are scored on a scale of 1-4 in four areas: Dedication/Responsibility, Compassion, Curiosity, and Integrity. The average </w:t>
            </w:r>
            <w:r w:rsidR="004674E1">
              <w:rPr>
                <w:rFonts w:ascii="Arial" w:hAnsi="Arial" w:cs="Arial"/>
                <w:sz w:val="20"/>
                <w:szCs w:val="20"/>
              </w:rPr>
              <w:t xml:space="preserve">score </w:t>
            </w:r>
            <w:r>
              <w:rPr>
                <w:rFonts w:ascii="Arial" w:hAnsi="Arial" w:cs="Arial"/>
                <w:sz w:val="20"/>
                <w:szCs w:val="20"/>
              </w:rPr>
              <w:t>of these four areas is considered their Disposition Point Average, or DPA. It is expected that the students will have an average DPA of 3.0 throughout their three semesters before student teaching.</w:t>
            </w:r>
            <w:r w:rsidR="004674E1">
              <w:rPr>
                <w:rFonts w:ascii="Arial" w:hAnsi="Arial" w:cs="Arial"/>
                <w:sz w:val="20"/>
                <w:szCs w:val="20"/>
              </w:rPr>
              <w:t xml:space="preserve"> The department</w:t>
            </w:r>
            <w:r>
              <w:rPr>
                <w:rFonts w:ascii="Arial" w:hAnsi="Arial" w:cs="Arial"/>
                <w:sz w:val="20"/>
                <w:szCs w:val="20"/>
              </w:rPr>
              <w:t xml:space="preserve"> started the</w:t>
            </w:r>
            <w:r w:rsidR="00A37A44">
              <w:rPr>
                <w:rFonts w:ascii="Arial" w:hAnsi="Arial" w:cs="Arial"/>
                <w:sz w:val="20"/>
                <w:szCs w:val="20"/>
              </w:rPr>
              <w:t xml:space="preserve"> </w:t>
            </w:r>
            <w:r w:rsidR="00C6206E">
              <w:rPr>
                <w:rFonts w:ascii="Arial" w:hAnsi="Arial" w:cs="Arial"/>
                <w:sz w:val="20"/>
                <w:szCs w:val="20"/>
              </w:rPr>
              <w:t xml:space="preserve">implementation </w:t>
            </w:r>
            <w:r w:rsidR="00A37A44">
              <w:rPr>
                <w:rFonts w:ascii="Arial" w:hAnsi="Arial" w:cs="Arial"/>
                <w:sz w:val="20"/>
                <w:szCs w:val="20"/>
              </w:rPr>
              <w:t>of a</w:t>
            </w:r>
            <w:r>
              <w:rPr>
                <w:rFonts w:ascii="Arial" w:hAnsi="Arial" w:cs="Arial"/>
                <w:sz w:val="20"/>
                <w:szCs w:val="20"/>
              </w:rPr>
              <w:t xml:space="preserve"> DPA in Fall </w:t>
            </w:r>
            <w:r w:rsidR="004674E1">
              <w:rPr>
                <w:rFonts w:ascii="Arial" w:hAnsi="Arial" w:cs="Arial"/>
                <w:sz w:val="20"/>
                <w:szCs w:val="20"/>
              </w:rPr>
              <w:t>2018 and</w:t>
            </w:r>
            <w:r>
              <w:rPr>
                <w:rFonts w:ascii="Arial" w:hAnsi="Arial" w:cs="Arial"/>
                <w:sz w:val="20"/>
                <w:szCs w:val="20"/>
              </w:rPr>
              <w:t xml:space="preserve"> are only now requiring the 3.0 </w:t>
            </w:r>
            <w:r w:rsidR="00212B6E">
              <w:rPr>
                <w:rFonts w:ascii="Arial" w:hAnsi="Arial" w:cs="Arial"/>
                <w:sz w:val="20"/>
                <w:szCs w:val="20"/>
              </w:rPr>
              <w:t xml:space="preserve">because </w:t>
            </w:r>
            <w:r>
              <w:rPr>
                <w:rFonts w:ascii="Arial" w:hAnsi="Arial" w:cs="Arial"/>
                <w:sz w:val="20"/>
                <w:szCs w:val="20"/>
              </w:rPr>
              <w:t>o</w:t>
            </w:r>
            <w:r w:rsidR="004674E1">
              <w:rPr>
                <w:rFonts w:ascii="Arial" w:hAnsi="Arial" w:cs="Arial"/>
                <w:sz w:val="20"/>
                <w:szCs w:val="20"/>
              </w:rPr>
              <w:t>ur graduating students have gone through three semesters</w:t>
            </w:r>
            <w:r>
              <w:rPr>
                <w:rFonts w:ascii="Arial" w:hAnsi="Arial" w:cs="Arial"/>
                <w:sz w:val="20"/>
                <w:szCs w:val="20"/>
              </w:rPr>
              <w:t>.</w:t>
            </w:r>
            <w:r w:rsidR="004674E1">
              <w:rPr>
                <w:rFonts w:ascii="Arial" w:hAnsi="Arial" w:cs="Arial"/>
                <w:sz w:val="20"/>
                <w:szCs w:val="20"/>
              </w:rPr>
              <w:t xml:space="preserve"> We have had a </w:t>
            </w:r>
            <w:r w:rsidR="00463C3E">
              <w:rPr>
                <w:rFonts w:ascii="Arial" w:hAnsi="Arial" w:cs="Arial"/>
                <w:sz w:val="20"/>
                <w:szCs w:val="20"/>
              </w:rPr>
              <w:t xml:space="preserve">few </w:t>
            </w:r>
            <w:r w:rsidR="004674E1">
              <w:rPr>
                <w:rFonts w:ascii="Arial" w:hAnsi="Arial" w:cs="Arial"/>
                <w:sz w:val="20"/>
                <w:szCs w:val="20"/>
              </w:rPr>
              <w:t>students not reach this 3.0 mark, but each one has</w:t>
            </w:r>
            <w:r w:rsidR="00A37A44">
              <w:rPr>
                <w:rFonts w:ascii="Arial" w:hAnsi="Arial" w:cs="Arial"/>
                <w:sz w:val="20"/>
                <w:szCs w:val="20"/>
              </w:rPr>
              <w:t xml:space="preserve"> had a limited number of Dispositions </w:t>
            </w:r>
            <w:r w:rsidR="00A775F9">
              <w:rPr>
                <w:rFonts w:ascii="Arial" w:hAnsi="Arial" w:cs="Arial"/>
                <w:sz w:val="20"/>
                <w:szCs w:val="20"/>
              </w:rPr>
              <w:t>completed and</w:t>
            </w:r>
            <w:r w:rsidR="00A37A44">
              <w:rPr>
                <w:rFonts w:ascii="Arial" w:hAnsi="Arial" w:cs="Arial"/>
                <w:sz w:val="20"/>
                <w:szCs w:val="20"/>
              </w:rPr>
              <w:t xml:space="preserve"> </w:t>
            </w:r>
            <w:r w:rsidR="000A7DC6">
              <w:rPr>
                <w:rFonts w:ascii="Arial" w:hAnsi="Arial" w:cs="Arial"/>
                <w:sz w:val="20"/>
                <w:szCs w:val="20"/>
              </w:rPr>
              <w:t xml:space="preserve">they </w:t>
            </w:r>
            <w:r w:rsidR="00A775F9">
              <w:rPr>
                <w:rFonts w:ascii="Arial" w:hAnsi="Arial" w:cs="Arial"/>
                <w:sz w:val="20"/>
                <w:szCs w:val="20"/>
              </w:rPr>
              <w:t>are</w:t>
            </w:r>
            <w:r w:rsidR="00A37A44">
              <w:rPr>
                <w:rFonts w:ascii="Arial" w:hAnsi="Arial" w:cs="Arial"/>
                <w:sz w:val="20"/>
                <w:szCs w:val="20"/>
              </w:rPr>
              <w:t xml:space="preserve"> </w:t>
            </w:r>
            <w:r w:rsidR="00A775F9">
              <w:rPr>
                <w:rFonts w:ascii="Arial" w:hAnsi="Arial" w:cs="Arial"/>
                <w:sz w:val="20"/>
                <w:szCs w:val="20"/>
              </w:rPr>
              <w:t xml:space="preserve">required to </w:t>
            </w:r>
            <w:r w:rsidR="00A37A44">
              <w:rPr>
                <w:rFonts w:ascii="Arial" w:hAnsi="Arial" w:cs="Arial"/>
                <w:sz w:val="20"/>
                <w:szCs w:val="20"/>
              </w:rPr>
              <w:t>me</w:t>
            </w:r>
            <w:r w:rsidR="00A775F9">
              <w:rPr>
                <w:rFonts w:ascii="Arial" w:hAnsi="Arial" w:cs="Arial"/>
                <w:sz w:val="20"/>
                <w:szCs w:val="20"/>
              </w:rPr>
              <w:t>e</w:t>
            </w:r>
            <w:r w:rsidR="00A37A44">
              <w:rPr>
                <w:rFonts w:ascii="Arial" w:hAnsi="Arial" w:cs="Arial"/>
                <w:sz w:val="20"/>
                <w:szCs w:val="20"/>
              </w:rPr>
              <w:t xml:space="preserve">t with the Director of Clinical Experiences before being </w:t>
            </w:r>
            <w:r w:rsidR="00A775F9">
              <w:rPr>
                <w:rFonts w:ascii="Arial" w:hAnsi="Arial" w:cs="Arial"/>
                <w:sz w:val="20"/>
                <w:szCs w:val="20"/>
              </w:rPr>
              <w:t>allowed to</w:t>
            </w:r>
            <w:r w:rsidR="00A37A44">
              <w:rPr>
                <w:rFonts w:ascii="Arial" w:hAnsi="Arial" w:cs="Arial"/>
                <w:sz w:val="20"/>
                <w:szCs w:val="20"/>
              </w:rPr>
              <w:t xml:space="preserve"> student teach.</w:t>
            </w:r>
            <w:r w:rsidR="004674E1">
              <w:rPr>
                <w:rFonts w:ascii="Arial" w:hAnsi="Arial" w:cs="Arial"/>
                <w:sz w:val="20"/>
                <w:szCs w:val="20"/>
              </w:rPr>
              <w:t xml:space="preserve">  </w:t>
            </w:r>
            <w:r>
              <w:rPr>
                <w:rFonts w:ascii="Arial" w:hAnsi="Arial" w:cs="Arial"/>
                <w:sz w:val="20"/>
                <w:szCs w:val="20"/>
              </w:rPr>
              <w:t xml:space="preserve">  </w:t>
            </w:r>
          </w:p>
        </w:tc>
      </w:tr>
      <w:tr w:rsidR="00B5307F" w14:paraId="169628CD" w14:textId="77777777" w:rsidTr="00B5307F">
        <w:trPr>
          <w:trHeight w:val="420"/>
        </w:trPr>
        <w:tc>
          <w:tcPr>
            <w:tcW w:w="447" w:type="pct"/>
            <w:shd w:val="clear" w:color="auto" w:fill="FFFFFF"/>
          </w:tcPr>
          <w:p w14:paraId="62BC03CB" w14:textId="08C22D37" w:rsidR="00B5307F" w:rsidRDefault="00B5307F" w:rsidP="00B5307F">
            <w:pPr>
              <w:jc w:val="center"/>
              <w:rPr>
                <w:rFonts w:ascii="Arial" w:eastAsia="Arial" w:hAnsi="Arial" w:cs="Arial"/>
                <w:b/>
                <w:sz w:val="20"/>
                <w:szCs w:val="20"/>
              </w:rPr>
            </w:pPr>
            <w:r>
              <w:rPr>
                <w:rFonts w:ascii="Arial" w:eastAsia="Arial" w:hAnsi="Arial" w:cs="Arial"/>
                <w:b/>
                <w:sz w:val="20"/>
                <w:szCs w:val="20"/>
              </w:rPr>
              <w:t>1 &amp; 2</w:t>
            </w:r>
          </w:p>
        </w:tc>
        <w:tc>
          <w:tcPr>
            <w:tcW w:w="1145" w:type="pct"/>
            <w:shd w:val="clear" w:color="auto" w:fill="D0E0E3"/>
          </w:tcPr>
          <w:p w14:paraId="61EA61D4" w14:textId="5DEAFB02" w:rsidR="00B5307F" w:rsidRPr="00B5307F" w:rsidRDefault="00B5307F" w:rsidP="00B5307F">
            <w:pPr>
              <w:rPr>
                <w:rFonts w:ascii="Arial" w:eastAsia="Arial" w:hAnsi="Arial" w:cs="Arial"/>
                <w:sz w:val="20"/>
                <w:szCs w:val="20"/>
              </w:rPr>
            </w:pPr>
            <w:proofErr w:type="spellStart"/>
            <w:r w:rsidRPr="00B5307F">
              <w:rPr>
                <w:rFonts w:ascii="Arial" w:eastAsia="Arial" w:hAnsi="Arial" w:cs="Arial"/>
                <w:sz w:val="20"/>
                <w:szCs w:val="20"/>
              </w:rPr>
              <w:t>edTPA</w:t>
            </w:r>
            <w:proofErr w:type="spellEnd"/>
          </w:p>
        </w:tc>
        <w:tc>
          <w:tcPr>
            <w:tcW w:w="1556" w:type="pct"/>
            <w:shd w:val="clear" w:color="auto" w:fill="D0E0E3"/>
          </w:tcPr>
          <w:p w14:paraId="77B7EF1C" w14:textId="74596CA7" w:rsidR="00B5307F" w:rsidRPr="00B5307F" w:rsidRDefault="00F7501B" w:rsidP="00B5307F">
            <w:pPr>
              <w:rPr>
                <w:rFonts w:ascii="Arial" w:eastAsia="Arial" w:hAnsi="Arial" w:cs="Arial"/>
                <w:sz w:val="20"/>
                <w:szCs w:val="20"/>
              </w:rPr>
            </w:pPr>
            <w:r>
              <w:rPr>
                <w:rFonts w:ascii="Arial" w:eastAsia="Arial" w:hAnsi="Arial" w:cs="Arial"/>
                <w:sz w:val="20"/>
                <w:szCs w:val="20"/>
              </w:rPr>
              <w:t>Candidates are expected to</w:t>
            </w:r>
            <w:r w:rsidR="00530ABC">
              <w:rPr>
                <w:rFonts w:ascii="Arial" w:eastAsia="Arial" w:hAnsi="Arial" w:cs="Arial"/>
                <w:sz w:val="20"/>
                <w:szCs w:val="20"/>
              </w:rPr>
              <w:t xml:space="preserve"> score a 2.0 or higher in the 15 rubrics. </w:t>
            </w:r>
            <w:r>
              <w:rPr>
                <w:rFonts w:ascii="Arial" w:eastAsia="Arial" w:hAnsi="Arial" w:cs="Arial"/>
                <w:sz w:val="20"/>
                <w:szCs w:val="20"/>
              </w:rPr>
              <w:t xml:space="preserve"> </w:t>
            </w:r>
          </w:p>
        </w:tc>
        <w:tc>
          <w:tcPr>
            <w:tcW w:w="1852" w:type="pct"/>
            <w:shd w:val="clear" w:color="auto" w:fill="D0E0E3"/>
          </w:tcPr>
          <w:p w14:paraId="665CF0FE" w14:textId="5FAF4B4A" w:rsidR="00B5307F" w:rsidRPr="00B5307F" w:rsidRDefault="00A37A44" w:rsidP="00B5307F">
            <w:pPr>
              <w:rPr>
                <w:rFonts w:ascii="Arial" w:eastAsia="Arial" w:hAnsi="Arial" w:cs="Arial"/>
                <w:sz w:val="20"/>
                <w:szCs w:val="20"/>
              </w:rPr>
            </w:pPr>
            <w:r>
              <w:rPr>
                <w:rFonts w:ascii="Arial" w:eastAsia="Arial" w:hAnsi="Arial" w:cs="Arial"/>
                <w:sz w:val="20"/>
                <w:szCs w:val="20"/>
              </w:rPr>
              <w:t xml:space="preserve">The department separates </w:t>
            </w:r>
            <w:r w:rsidR="001E2E3A">
              <w:rPr>
                <w:rFonts w:ascii="Arial" w:eastAsia="Arial" w:hAnsi="Arial" w:cs="Arial"/>
                <w:sz w:val="20"/>
                <w:szCs w:val="20"/>
              </w:rPr>
              <w:t xml:space="preserve">the </w:t>
            </w:r>
            <w:proofErr w:type="spellStart"/>
            <w:r>
              <w:rPr>
                <w:rFonts w:ascii="Arial" w:eastAsia="Arial" w:hAnsi="Arial" w:cs="Arial"/>
                <w:sz w:val="20"/>
                <w:szCs w:val="20"/>
              </w:rPr>
              <w:t>edTPA</w:t>
            </w:r>
            <w:proofErr w:type="spellEnd"/>
            <w:r>
              <w:rPr>
                <w:rFonts w:ascii="Arial" w:eastAsia="Arial" w:hAnsi="Arial" w:cs="Arial"/>
                <w:sz w:val="20"/>
                <w:szCs w:val="20"/>
              </w:rPr>
              <w:t xml:space="preserve"> scores by Campus and PEDL (</w:t>
            </w:r>
            <w:proofErr w:type="spellStart"/>
            <w:r>
              <w:rPr>
                <w:rFonts w:ascii="Arial" w:eastAsia="Arial" w:hAnsi="Arial" w:cs="Arial"/>
                <w:sz w:val="20"/>
                <w:szCs w:val="20"/>
              </w:rPr>
              <w:t>DLiTE</w:t>
            </w:r>
            <w:proofErr w:type="spellEnd"/>
            <w:r w:rsidR="00A775F9">
              <w:rPr>
                <w:rFonts w:ascii="Arial" w:eastAsia="Arial" w:hAnsi="Arial" w:cs="Arial"/>
                <w:sz w:val="20"/>
                <w:szCs w:val="20"/>
              </w:rPr>
              <w:t xml:space="preserve">, </w:t>
            </w:r>
            <w:proofErr w:type="spellStart"/>
            <w:r>
              <w:rPr>
                <w:rFonts w:ascii="Arial" w:eastAsia="Arial" w:hAnsi="Arial" w:cs="Arial"/>
                <w:sz w:val="20"/>
                <w:szCs w:val="20"/>
              </w:rPr>
              <w:t>FasTrack</w:t>
            </w:r>
            <w:proofErr w:type="spellEnd"/>
            <w:r w:rsidR="00A775F9">
              <w:rPr>
                <w:rFonts w:ascii="Arial" w:eastAsia="Arial" w:hAnsi="Arial" w:cs="Arial"/>
                <w:sz w:val="20"/>
                <w:szCs w:val="20"/>
              </w:rPr>
              <w:t>, and Special Education</w:t>
            </w:r>
            <w:r>
              <w:rPr>
                <w:rFonts w:ascii="Arial" w:eastAsia="Arial" w:hAnsi="Arial" w:cs="Arial"/>
                <w:sz w:val="20"/>
                <w:szCs w:val="20"/>
              </w:rPr>
              <w:t xml:space="preserve">). In 2018-2019, Campus had a total of 71 </w:t>
            </w:r>
            <w:r w:rsidR="00A6752F">
              <w:rPr>
                <w:rFonts w:ascii="Arial" w:eastAsia="Arial" w:hAnsi="Arial" w:cs="Arial"/>
                <w:sz w:val="20"/>
                <w:szCs w:val="20"/>
              </w:rPr>
              <w:t>candidates</w:t>
            </w:r>
            <w:r>
              <w:rPr>
                <w:rFonts w:ascii="Arial" w:eastAsia="Arial" w:hAnsi="Arial" w:cs="Arial"/>
                <w:sz w:val="20"/>
                <w:szCs w:val="20"/>
              </w:rPr>
              <w:t xml:space="preserve">, with 21 receiving a 1.0 on 2 or more rubrics. PEDL had a total of </w:t>
            </w:r>
            <w:r w:rsidR="00A6752F">
              <w:rPr>
                <w:rFonts w:ascii="Arial" w:eastAsia="Arial" w:hAnsi="Arial" w:cs="Arial"/>
                <w:sz w:val="20"/>
                <w:szCs w:val="20"/>
              </w:rPr>
              <w:t xml:space="preserve">68 candidates, with 7 receiving a 1.0 on 2 or more rubrics. These candidates all completed remediation before </w:t>
            </w:r>
            <w:r w:rsidR="00141C09">
              <w:rPr>
                <w:rFonts w:ascii="Arial" w:eastAsia="Arial" w:hAnsi="Arial" w:cs="Arial"/>
                <w:sz w:val="20"/>
                <w:szCs w:val="20"/>
              </w:rPr>
              <w:lastRenderedPageBreak/>
              <w:t xml:space="preserve">receiving a </w:t>
            </w:r>
            <w:r w:rsidR="00A6752F">
              <w:rPr>
                <w:rFonts w:ascii="Arial" w:eastAsia="Arial" w:hAnsi="Arial" w:cs="Arial"/>
                <w:sz w:val="20"/>
                <w:szCs w:val="20"/>
              </w:rPr>
              <w:t xml:space="preserve">passing </w:t>
            </w:r>
            <w:r w:rsidR="00141C09">
              <w:rPr>
                <w:rFonts w:ascii="Arial" w:eastAsia="Arial" w:hAnsi="Arial" w:cs="Arial"/>
                <w:sz w:val="20"/>
                <w:szCs w:val="20"/>
              </w:rPr>
              <w:t xml:space="preserve">grade for </w:t>
            </w:r>
            <w:r w:rsidR="00A6752F">
              <w:rPr>
                <w:rFonts w:ascii="Arial" w:eastAsia="Arial" w:hAnsi="Arial" w:cs="Arial"/>
                <w:sz w:val="20"/>
                <w:szCs w:val="20"/>
              </w:rPr>
              <w:t>student teaching.</w:t>
            </w:r>
          </w:p>
        </w:tc>
      </w:tr>
      <w:tr w:rsidR="00B5307F" w14:paraId="0C80A798" w14:textId="77777777" w:rsidTr="00B5307F">
        <w:trPr>
          <w:trHeight w:val="420"/>
        </w:trPr>
        <w:tc>
          <w:tcPr>
            <w:tcW w:w="447" w:type="pct"/>
            <w:shd w:val="clear" w:color="auto" w:fill="FFFFFF"/>
          </w:tcPr>
          <w:p w14:paraId="19A802DD" w14:textId="35A590B4" w:rsidR="00B5307F" w:rsidRDefault="00B5307F" w:rsidP="00B5307F">
            <w:pPr>
              <w:jc w:val="center"/>
              <w:rPr>
                <w:rFonts w:ascii="Arial" w:eastAsia="Arial" w:hAnsi="Arial" w:cs="Arial"/>
                <w:b/>
                <w:sz w:val="20"/>
                <w:szCs w:val="20"/>
              </w:rPr>
            </w:pPr>
            <w:r>
              <w:rPr>
                <w:rFonts w:ascii="Arial" w:eastAsia="Arial" w:hAnsi="Arial" w:cs="Arial"/>
                <w:b/>
                <w:sz w:val="20"/>
                <w:szCs w:val="20"/>
              </w:rPr>
              <w:lastRenderedPageBreak/>
              <w:t>1 &amp; 2</w:t>
            </w:r>
          </w:p>
        </w:tc>
        <w:tc>
          <w:tcPr>
            <w:tcW w:w="1145" w:type="pct"/>
            <w:shd w:val="clear" w:color="auto" w:fill="D0E0E3"/>
          </w:tcPr>
          <w:p w14:paraId="5D828936" w14:textId="49D080E4" w:rsidR="00B5307F" w:rsidRPr="00B5307F" w:rsidRDefault="00B5307F" w:rsidP="00B5307F">
            <w:pPr>
              <w:rPr>
                <w:rFonts w:ascii="Arial" w:eastAsia="Arial" w:hAnsi="Arial" w:cs="Arial"/>
                <w:sz w:val="20"/>
                <w:szCs w:val="20"/>
              </w:rPr>
            </w:pPr>
            <w:r w:rsidRPr="00B5307F">
              <w:rPr>
                <w:rFonts w:ascii="Arial" w:eastAsia="Arial" w:hAnsi="Arial" w:cs="Arial"/>
                <w:sz w:val="20"/>
                <w:szCs w:val="20"/>
              </w:rPr>
              <w:t>Common Metrics Surveys</w:t>
            </w:r>
          </w:p>
        </w:tc>
        <w:tc>
          <w:tcPr>
            <w:tcW w:w="1556" w:type="pct"/>
            <w:shd w:val="clear" w:color="auto" w:fill="D0E0E3"/>
          </w:tcPr>
          <w:p w14:paraId="73D6CDE8" w14:textId="3407D429" w:rsidR="00B5307F" w:rsidRPr="00B5307F" w:rsidRDefault="00F7501B" w:rsidP="00B5307F">
            <w:pPr>
              <w:rPr>
                <w:rFonts w:ascii="Arial" w:eastAsia="Arial" w:hAnsi="Arial" w:cs="Arial"/>
                <w:sz w:val="20"/>
                <w:szCs w:val="20"/>
              </w:rPr>
            </w:pPr>
            <w:r>
              <w:rPr>
                <w:rFonts w:ascii="Arial" w:eastAsia="Arial" w:hAnsi="Arial" w:cs="Arial"/>
                <w:sz w:val="20"/>
                <w:szCs w:val="20"/>
              </w:rPr>
              <w:t xml:space="preserve">Candidates are expected to complete the Common Metrics Surveys </w:t>
            </w:r>
            <w:r w:rsidR="00A6752F">
              <w:rPr>
                <w:rFonts w:ascii="Arial" w:eastAsia="Arial" w:hAnsi="Arial" w:cs="Arial"/>
                <w:sz w:val="20"/>
                <w:szCs w:val="20"/>
              </w:rPr>
              <w:t>during their last semester in the program</w:t>
            </w:r>
            <w:r>
              <w:rPr>
                <w:rFonts w:ascii="Arial" w:eastAsia="Arial" w:hAnsi="Arial" w:cs="Arial"/>
                <w:sz w:val="20"/>
                <w:szCs w:val="20"/>
              </w:rPr>
              <w:t xml:space="preserve"> </w:t>
            </w:r>
            <w:proofErr w:type="gramStart"/>
            <w:r>
              <w:rPr>
                <w:rFonts w:ascii="Arial" w:eastAsia="Arial" w:hAnsi="Arial" w:cs="Arial"/>
                <w:sz w:val="20"/>
                <w:szCs w:val="20"/>
              </w:rPr>
              <w:t xml:space="preserve">and </w:t>
            </w:r>
            <w:r w:rsidR="00CA0279">
              <w:rPr>
                <w:rFonts w:ascii="Arial" w:eastAsia="Arial" w:hAnsi="Arial" w:cs="Arial"/>
                <w:sz w:val="20"/>
                <w:szCs w:val="20"/>
              </w:rPr>
              <w:t>also</w:t>
            </w:r>
            <w:proofErr w:type="gramEnd"/>
            <w:r w:rsidR="00CA0279">
              <w:rPr>
                <w:rFonts w:ascii="Arial" w:eastAsia="Arial" w:hAnsi="Arial" w:cs="Arial"/>
                <w:sz w:val="20"/>
                <w:szCs w:val="20"/>
              </w:rPr>
              <w:t xml:space="preserve"> </w:t>
            </w:r>
            <w:r>
              <w:rPr>
                <w:rFonts w:ascii="Arial" w:eastAsia="Arial" w:hAnsi="Arial" w:cs="Arial"/>
                <w:sz w:val="20"/>
                <w:szCs w:val="20"/>
              </w:rPr>
              <w:t xml:space="preserve">after their </w:t>
            </w:r>
            <w:r w:rsidR="00A6752F">
              <w:rPr>
                <w:rFonts w:ascii="Arial" w:eastAsia="Arial" w:hAnsi="Arial" w:cs="Arial"/>
                <w:sz w:val="20"/>
                <w:szCs w:val="20"/>
              </w:rPr>
              <w:t>first-year</w:t>
            </w:r>
            <w:r>
              <w:rPr>
                <w:rFonts w:ascii="Arial" w:eastAsia="Arial" w:hAnsi="Arial" w:cs="Arial"/>
                <w:sz w:val="20"/>
                <w:szCs w:val="20"/>
              </w:rPr>
              <w:t xml:space="preserve"> teaching.</w:t>
            </w:r>
          </w:p>
        </w:tc>
        <w:tc>
          <w:tcPr>
            <w:tcW w:w="1852" w:type="pct"/>
            <w:shd w:val="clear" w:color="auto" w:fill="D0E0E3"/>
          </w:tcPr>
          <w:p w14:paraId="12A62FB3" w14:textId="25AA2EB7" w:rsidR="00B5307F" w:rsidRPr="00B5307F" w:rsidRDefault="00681DB4" w:rsidP="00B5307F">
            <w:pPr>
              <w:rPr>
                <w:rFonts w:ascii="Arial" w:eastAsia="Arial" w:hAnsi="Arial" w:cs="Arial"/>
                <w:sz w:val="20"/>
                <w:szCs w:val="20"/>
              </w:rPr>
            </w:pPr>
            <w:r>
              <w:rPr>
                <w:rFonts w:ascii="Arial" w:eastAsia="Arial" w:hAnsi="Arial" w:cs="Arial"/>
                <w:sz w:val="20"/>
                <w:szCs w:val="20"/>
              </w:rPr>
              <w:t xml:space="preserve">The Common Metrics Surveys are voluntary; however, we ask that our student teachers complete the Exit Survey </w:t>
            </w:r>
            <w:r w:rsidR="00A65A0C">
              <w:rPr>
                <w:rFonts w:ascii="Arial" w:eastAsia="Arial" w:hAnsi="Arial" w:cs="Arial"/>
                <w:sz w:val="20"/>
                <w:szCs w:val="20"/>
              </w:rPr>
              <w:t>i</w:t>
            </w:r>
            <w:r>
              <w:rPr>
                <w:rFonts w:ascii="Arial" w:eastAsia="Arial" w:hAnsi="Arial" w:cs="Arial"/>
                <w:sz w:val="20"/>
                <w:szCs w:val="20"/>
              </w:rPr>
              <w:t xml:space="preserve">n </w:t>
            </w:r>
            <w:proofErr w:type="spellStart"/>
            <w:r>
              <w:rPr>
                <w:rFonts w:ascii="Arial" w:eastAsia="Arial" w:hAnsi="Arial" w:cs="Arial"/>
                <w:sz w:val="20"/>
                <w:szCs w:val="20"/>
              </w:rPr>
              <w:t>Taskstream</w:t>
            </w:r>
            <w:proofErr w:type="spellEnd"/>
            <w:r>
              <w:rPr>
                <w:rFonts w:ascii="Arial" w:eastAsia="Arial" w:hAnsi="Arial" w:cs="Arial"/>
                <w:sz w:val="20"/>
                <w:szCs w:val="20"/>
              </w:rPr>
              <w:t xml:space="preserve"> before they finish the semester and ask first-year teachers to complete the Transition-to-Teaching survey through email. In 2018-2019, we had 142 student teachers, with 65 completing the survey</w:t>
            </w:r>
            <w:r w:rsidR="00DB434E">
              <w:rPr>
                <w:rFonts w:ascii="Arial" w:eastAsia="Arial" w:hAnsi="Arial" w:cs="Arial"/>
                <w:sz w:val="20"/>
                <w:szCs w:val="20"/>
              </w:rPr>
              <w:t xml:space="preserve"> in their last semester</w:t>
            </w:r>
            <w:r>
              <w:rPr>
                <w:rFonts w:ascii="Arial" w:eastAsia="Arial" w:hAnsi="Arial" w:cs="Arial"/>
                <w:sz w:val="20"/>
                <w:szCs w:val="20"/>
              </w:rPr>
              <w:t xml:space="preserve">, for a response rate of 45.8%. As stated in question 7 above, only one first-year teacher out of 79 completed the Transition-to-Teaching survey. </w:t>
            </w:r>
          </w:p>
        </w:tc>
      </w:tr>
    </w:tbl>
    <w:p w14:paraId="7FDA8827" w14:textId="77777777" w:rsidR="00FB0310" w:rsidRDefault="00FB0310"/>
    <w:p w14:paraId="7DA63820" w14:textId="77777777" w:rsidR="00FB0310" w:rsidRDefault="00FB0310"/>
    <w:p w14:paraId="6CC41C7B" w14:textId="77777777" w:rsidR="00FB0310" w:rsidRPr="005607CB" w:rsidRDefault="000457E7">
      <w:pPr>
        <w:numPr>
          <w:ilvl w:val="0"/>
          <w:numId w:val="2"/>
        </w:numPr>
        <w:ind w:left="360"/>
        <w:rPr>
          <w:b/>
          <w:sz w:val="24"/>
          <w:szCs w:val="24"/>
        </w:rPr>
      </w:pPr>
      <w:r w:rsidRPr="005607CB">
        <w:rPr>
          <w:b/>
          <w:sz w:val="24"/>
          <w:szCs w:val="24"/>
        </w:rPr>
        <w:t>Notes on Progress, Accomplishment, and Innovation</w:t>
      </w:r>
    </w:p>
    <w:p w14:paraId="3A859A70" w14:textId="77777777" w:rsidR="00FB0310" w:rsidRPr="005607CB" w:rsidRDefault="000457E7">
      <w:pPr>
        <w:spacing w:after="200"/>
        <w:rPr>
          <w:i/>
          <w:sz w:val="24"/>
          <w:szCs w:val="24"/>
        </w:rPr>
      </w:pPr>
      <w:bookmarkStart w:id="3" w:name="_Hlk39043402"/>
      <w:r w:rsidRPr="005607CB">
        <w:rPr>
          <w:sz w:val="24"/>
          <w:szCs w:val="24"/>
        </w:rPr>
        <w:t>Describe recent program accomplishments, efforts to address challenges, priorities in your current agenda, and innovations that are on the horizon</w:t>
      </w:r>
      <w:bookmarkEnd w:id="3"/>
      <w:r w:rsidRPr="005607CB">
        <w:rPr>
          <w:sz w:val="24"/>
          <w:szCs w:val="24"/>
        </w:rPr>
        <w:t>.  Please limit comments to no more than two pages.</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B0310" w14:paraId="66E8A1A4" w14:textId="77777777">
        <w:tc>
          <w:tcPr>
            <w:tcW w:w="9360" w:type="dxa"/>
            <w:shd w:val="clear" w:color="auto" w:fill="D0E0E3"/>
            <w:tcMar>
              <w:top w:w="100" w:type="dxa"/>
              <w:left w:w="100" w:type="dxa"/>
              <w:bottom w:w="100" w:type="dxa"/>
              <w:right w:w="100" w:type="dxa"/>
            </w:tcMar>
          </w:tcPr>
          <w:p w14:paraId="229C0CD0" w14:textId="77777777" w:rsidR="00A94E58" w:rsidRPr="00A94E58" w:rsidRDefault="00A94E58">
            <w:pPr>
              <w:spacing w:line="240" w:lineRule="auto"/>
              <w:rPr>
                <w:b/>
                <w:bCs/>
              </w:rPr>
            </w:pPr>
            <w:r w:rsidRPr="00A94E58">
              <w:rPr>
                <w:b/>
                <w:bCs/>
              </w:rPr>
              <w:t xml:space="preserve">Recent Program Accomplishments: </w:t>
            </w:r>
          </w:p>
          <w:p w14:paraId="207173CA" w14:textId="76569889" w:rsidR="00A94E58" w:rsidRDefault="0020260C" w:rsidP="0020260C">
            <w:r>
              <w:t xml:space="preserve">     </w:t>
            </w:r>
            <w:r w:rsidR="00A94E58">
              <w:t xml:space="preserve">Due to COVID-19, the Campus program was forced to convert </w:t>
            </w:r>
            <w:r w:rsidR="00DB434E">
              <w:t xml:space="preserve">all </w:t>
            </w:r>
            <w:r w:rsidR="00A94E58">
              <w:t>classes online</w:t>
            </w:r>
            <w:r>
              <w:t xml:space="preserve"> very quickly</w:t>
            </w:r>
            <w:r w:rsidR="00A94E58">
              <w:t xml:space="preserve">. This was </w:t>
            </w:r>
            <w:r>
              <w:t xml:space="preserve">successfully </w:t>
            </w:r>
            <w:r w:rsidR="00DB434E">
              <w:t xml:space="preserve">completed </w:t>
            </w:r>
            <w:r w:rsidR="00A94E58">
              <w:t xml:space="preserve">in a relatively short time </w:t>
            </w:r>
            <w:r w:rsidR="00F72E19">
              <w:t xml:space="preserve">to ensure as smooth a transition as possible for students to continue coursework, and hopefully, successfully complete </w:t>
            </w:r>
            <w:r w:rsidR="00002A23">
              <w:t>their coursework.</w:t>
            </w:r>
            <w:r w:rsidR="00F72E19">
              <w:t xml:space="preserve"> </w:t>
            </w:r>
          </w:p>
          <w:p w14:paraId="1F71513F" w14:textId="4108E9D8" w:rsidR="00F72E19" w:rsidRDefault="0020260C" w:rsidP="0020260C">
            <w:r>
              <w:t xml:space="preserve">     </w:t>
            </w:r>
            <w:r w:rsidR="00F72E19">
              <w:t xml:space="preserve">Our department always provides </w:t>
            </w:r>
            <w:proofErr w:type="spellStart"/>
            <w:r w:rsidR="00F72E19">
              <w:t>edTPA</w:t>
            </w:r>
            <w:proofErr w:type="spellEnd"/>
            <w:r w:rsidR="00F72E19">
              <w:t xml:space="preserve"> training and support for candidates across all programs and this year</w:t>
            </w:r>
            <w:r w:rsidR="001646FD">
              <w:t xml:space="preserve"> we</w:t>
            </w:r>
            <w:r w:rsidR="00F72E19">
              <w:t xml:space="preserve"> had a near perfect attendance for these training webinars. We saw an increase in </w:t>
            </w:r>
            <w:proofErr w:type="spellStart"/>
            <w:r w:rsidR="00F72E19">
              <w:t>edTPA</w:t>
            </w:r>
            <w:proofErr w:type="spellEnd"/>
            <w:r w:rsidR="00F72E19">
              <w:t xml:space="preserve"> scores this year, with our Campus </w:t>
            </w:r>
            <w:r>
              <w:t xml:space="preserve">overall </w:t>
            </w:r>
            <w:r w:rsidR="00F72E19">
              <w:t>pass rates increasing by 24%. Additionally, only one candidate received a Condition Code this past semester.</w:t>
            </w:r>
          </w:p>
          <w:p w14:paraId="0E42EC1E" w14:textId="5CC75F0B" w:rsidR="00A94E58" w:rsidRDefault="0020260C" w:rsidP="0020260C">
            <w:r>
              <w:t xml:space="preserve">     </w:t>
            </w:r>
            <w:r w:rsidR="00A94E58">
              <w:t xml:space="preserve">The Admission and Retention Committee finalized a new admission rubric for a more holistic view of student admissions. The new rubric assesses four specific writing prompts (rather than a general essay on why they want to be a teacher). These prompts include communication (teamwork), critical thinking (time management), leadership, and human interaction (conflict resolution). The committee also assisted with </w:t>
            </w:r>
            <w:r w:rsidR="00DD30E6">
              <w:t xml:space="preserve">Department </w:t>
            </w:r>
            <w:r w:rsidR="00A94E58">
              <w:t>handbook revisions.</w:t>
            </w:r>
          </w:p>
          <w:p w14:paraId="5CFB2ADE" w14:textId="2EBC67BF" w:rsidR="00A94E58" w:rsidRDefault="00A94E58" w:rsidP="0020260C">
            <w:r>
              <w:t xml:space="preserve"> </w:t>
            </w:r>
            <w:r w:rsidR="0020260C">
              <w:t xml:space="preserve">     </w:t>
            </w:r>
            <w:r>
              <w:t xml:space="preserve">The Department is adding a second Licensing Certification Officer. This means we will have two people following licensure changes and assisting students in the licensure application process. Also, we are piloting several online license application walkthrough sessions in May 2020 to assist candidates with the application for licensure process. </w:t>
            </w:r>
          </w:p>
          <w:p w14:paraId="2E5E33EF" w14:textId="0DE84F32" w:rsidR="00F0684D" w:rsidRDefault="0020260C" w:rsidP="0020260C">
            <w:r>
              <w:t xml:space="preserve">     </w:t>
            </w:r>
            <w:r w:rsidR="00F0684D">
              <w:t xml:space="preserve">The Assessment Committee restructured the program’s Key Assessments during Fall 2019 and redesigned them to be a lesson plan aligned </w:t>
            </w:r>
            <w:r w:rsidR="002C672C">
              <w:t xml:space="preserve">with </w:t>
            </w:r>
            <w:r w:rsidR="00F0684D">
              <w:t xml:space="preserve">the </w:t>
            </w:r>
            <w:proofErr w:type="spellStart"/>
            <w:r w:rsidR="00F0684D">
              <w:t>edTPA</w:t>
            </w:r>
            <w:proofErr w:type="spellEnd"/>
            <w:r w:rsidR="002C672C">
              <w:t xml:space="preserve"> lesson plan</w:t>
            </w:r>
            <w:r w:rsidR="00F0684D">
              <w:t xml:space="preserve">. Training </w:t>
            </w:r>
            <w:r w:rsidR="00F0684D">
              <w:lastRenderedPageBreak/>
              <w:t xml:space="preserve">materials have been provided to faculty </w:t>
            </w:r>
            <w:r>
              <w:t>who have</w:t>
            </w:r>
            <w:r w:rsidR="00F0684D">
              <w:t xml:space="preserve"> Key Assessments in their courses. PEDL faculty</w:t>
            </w:r>
            <w:r>
              <w:t>,</w:t>
            </w:r>
            <w:r w:rsidR="00F0684D">
              <w:t xml:space="preserve"> including adjuncts</w:t>
            </w:r>
            <w:r>
              <w:t>,</w:t>
            </w:r>
            <w:r w:rsidR="00F0684D">
              <w:t xml:space="preserve"> met </w:t>
            </w:r>
            <w:r w:rsidR="00394B9E">
              <w:t xml:space="preserve">in </w:t>
            </w:r>
            <w:r>
              <w:t xml:space="preserve">December </w:t>
            </w:r>
            <w:r w:rsidR="00F0684D">
              <w:t xml:space="preserve">2019 to discuss lesson planning across </w:t>
            </w:r>
            <w:r>
              <w:t>the</w:t>
            </w:r>
            <w:r w:rsidR="00F0684D">
              <w:t xml:space="preserve"> program and discussed key assessment plans to support students complete the lesson plan.</w:t>
            </w:r>
          </w:p>
          <w:p w14:paraId="2A0125E5" w14:textId="77777777" w:rsidR="00A94E58" w:rsidRDefault="00A94E58">
            <w:pPr>
              <w:spacing w:line="240" w:lineRule="auto"/>
            </w:pPr>
          </w:p>
          <w:p w14:paraId="196087A4" w14:textId="34FDED67" w:rsidR="00A94E58" w:rsidRDefault="00A94E58">
            <w:pPr>
              <w:spacing w:line="240" w:lineRule="auto"/>
              <w:rPr>
                <w:b/>
                <w:bCs/>
              </w:rPr>
            </w:pPr>
            <w:r w:rsidRPr="00A94E58">
              <w:rPr>
                <w:b/>
                <w:bCs/>
              </w:rPr>
              <w:t xml:space="preserve">Efforts to Address Challenges: </w:t>
            </w:r>
          </w:p>
          <w:p w14:paraId="6B19E36D" w14:textId="2432F1FB" w:rsidR="00A94E58" w:rsidRDefault="0020260C" w:rsidP="00A94E58">
            <w:r>
              <w:rPr>
                <w:b/>
                <w:bCs/>
              </w:rPr>
              <w:t xml:space="preserve">     </w:t>
            </w:r>
            <w:r w:rsidR="00A94E58">
              <w:t xml:space="preserve">The </w:t>
            </w:r>
            <w:r w:rsidR="00BD43A1">
              <w:t xml:space="preserve">Department </w:t>
            </w:r>
            <w:r w:rsidR="00A94E58">
              <w:t xml:space="preserve">has </w:t>
            </w:r>
            <w:r w:rsidR="00A94E58" w:rsidRPr="00A94E58">
              <w:t>reque</w:t>
            </w:r>
            <w:r w:rsidR="00A94E58">
              <w:t>sted</w:t>
            </w:r>
            <w:r w:rsidR="00A94E58" w:rsidRPr="00A94E58">
              <w:t xml:space="preserve"> administrative support for additional staff and faculty in the department to manage an increasingly complex set of state statues for licensure.</w:t>
            </w:r>
          </w:p>
          <w:p w14:paraId="496F73D1" w14:textId="1D558EDE" w:rsidR="00F0684D" w:rsidRPr="00F0684D" w:rsidRDefault="0020260C" w:rsidP="00F0684D">
            <w:r>
              <w:t xml:space="preserve">     </w:t>
            </w:r>
            <w:r w:rsidR="00F72E19">
              <w:t>Despite being located near three Native American reservations, our Education Department lacks diversity</w:t>
            </w:r>
            <w:r>
              <w:t xml:space="preserve"> </w:t>
            </w:r>
            <w:r w:rsidR="00755B4F">
              <w:t xml:space="preserve">in our </w:t>
            </w:r>
            <w:r>
              <w:t>enrollment</w:t>
            </w:r>
            <w:r w:rsidR="00F72E19">
              <w:t xml:space="preserve">. The </w:t>
            </w:r>
            <w:r w:rsidR="007B409A">
              <w:t>D</w:t>
            </w:r>
            <w:r w:rsidR="00F72E19">
              <w:t xml:space="preserve">epartment created a Diversity Committee this year with a charge to include more diversity-related materials in courses </w:t>
            </w:r>
            <w:r w:rsidR="008476BE">
              <w:t xml:space="preserve">and </w:t>
            </w:r>
            <w:r w:rsidR="00F72E19">
              <w:t xml:space="preserve">educate faculty and staff on this matter. The </w:t>
            </w:r>
            <w:r w:rsidR="00F72E19" w:rsidRPr="0020260C">
              <w:t>Diversity Committee plans to facilitate a common read throughout the departmen</w:t>
            </w:r>
            <w:r w:rsidR="008476BE" w:rsidRPr="0020260C">
              <w:t>t</w:t>
            </w:r>
            <w:r w:rsidRPr="0020260C">
              <w:t xml:space="preserve"> in</w:t>
            </w:r>
            <w:r w:rsidR="00F72E19" w:rsidRPr="0020260C">
              <w:t xml:space="preserve"> </w:t>
            </w:r>
            <w:r w:rsidR="008476BE" w:rsidRPr="0020260C">
              <w:t>Fall 2020</w:t>
            </w:r>
            <w:r w:rsidR="00F72E19" w:rsidRPr="0020260C">
              <w:t xml:space="preserve">: White Fragility: Why </w:t>
            </w:r>
            <w:proofErr w:type="gramStart"/>
            <w:r w:rsidR="00F72E19" w:rsidRPr="0020260C">
              <w:t>it’s</w:t>
            </w:r>
            <w:proofErr w:type="gramEnd"/>
            <w:r w:rsidR="00F72E19" w:rsidRPr="0020260C">
              <w:t xml:space="preserve"> so hard for white people to talk about racism by Robin </w:t>
            </w:r>
            <w:proofErr w:type="spellStart"/>
            <w:r w:rsidR="00F72E19" w:rsidRPr="0020260C">
              <w:t>Diangelo</w:t>
            </w:r>
            <w:proofErr w:type="spellEnd"/>
            <w:r w:rsidR="00F72E19" w:rsidRPr="0020260C">
              <w:t xml:space="preserve">. </w:t>
            </w:r>
            <w:r w:rsidR="00F0684D" w:rsidRPr="00F0684D">
              <w:t xml:space="preserve">The Committee has </w:t>
            </w:r>
            <w:r w:rsidR="002014AD">
              <w:t xml:space="preserve">is </w:t>
            </w:r>
            <w:r w:rsidR="006558BB">
              <w:t>developing</w:t>
            </w:r>
            <w:r w:rsidR="002014AD">
              <w:t xml:space="preserve"> </w:t>
            </w:r>
            <w:r w:rsidR="00F0684D" w:rsidRPr="00F0684D">
              <w:t xml:space="preserve">proposed course in the Elementary Program, </w:t>
            </w:r>
            <w:r w:rsidR="00F0684D" w:rsidRPr="002E6F1C">
              <w:rPr>
                <w:i/>
                <w:iCs/>
              </w:rPr>
              <w:t>Teaching American Indian Students</w:t>
            </w:r>
            <w:r w:rsidR="00F0684D" w:rsidRPr="00F0684D">
              <w:t>, with a potential pilot date of Fall 2021. The Committee is also</w:t>
            </w:r>
            <w:r w:rsidR="00F0684D">
              <w:t xml:space="preserve"> </w:t>
            </w:r>
            <w:r w:rsidR="00F0684D" w:rsidRPr="00F0684D">
              <w:t>im</w:t>
            </w:r>
            <w:r w:rsidR="00F0684D">
              <w:t>p</w:t>
            </w:r>
            <w:r w:rsidR="00F0684D" w:rsidRPr="00F0684D">
              <w:t xml:space="preserve">lementing course tasks and </w:t>
            </w:r>
            <w:r w:rsidR="00612371">
              <w:t>readings</w:t>
            </w:r>
            <w:r w:rsidR="00612371" w:rsidRPr="00F0684D">
              <w:t xml:space="preserve"> </w:t>
            </w:r>
            <w:r w:rsidR="00F0684D">
              <w:t xml:space="preserve">that </w:t>
            </w:r>
            <w:r w:rsidR="00F0684D" w:rsidRPr="00F0684D">
              <w:t>specifically address diversity standards within the professional education program curriculum and andragogy</w:t>
            </w:r>
            <w:r w:rsidR="00F0684D">
              <w:t>.</w:t>
            </w:r>
          </w:p>
          <w:p w14:paraId="494C39EA" w14:textId="4FEFC1C2" w:rsidR="00F0684D" w:rsidRPr="00F0684D" w:rsidRDefault="0020260C" w:rsidP="00F0684D">
            <w:r w:rsidRPr="0020260C">
              <w:t xml:space="preserve">     </w:t>
            </w:r>
            <w:r w:rsidR="00F0684D" w:rsidRPr="0020260C">
              <w:t xml:space="preserve">Additionally, PEDL faculty Lisa Schmitz and Jessamay Pesek have revised an ED 3/5100 </w:t>
            </w:r>
            <w:r w:rsidR="00F0684D" w:rsidRPr="002E6F1C">
              <w:rPr>
                <w:i/>
                <w:iCs/>
              </w:rPr>
              <w:t>Foundation</w:t>
            </w:r>
            <w:r w:rsidR="00ED14E6" w:rsidRPr="002E6F1C">
              <w:rPr>
                <w:i/>
                <w:iCs/>
              </w:rPr>
              <w:t>s</w:t>
            </w:r>
            <w:r w:rsidR="00F0684D" w:rsidRPr="002E6F1C">
              <w:rPr>
                <w:i/>
                <w:iCs/>
              </w:rPr>
              <w:t xml:space="preserve"> of Education</w:t>
            </w:r>
            <w:r w:rsidR="00F0684D" w:rsidRPr="0020260C">
              <w:t xml:space="preserve"> assignment that focuses on cultural experiences for students to read a text, attend an event, interview a person, or do a series of activities to explore being Muslim in </w:t>
            </w:r>
            <w:r w:rsidRPr="0020260C">
              <w:t xml:space="preserve">an </w:t>
            </w:r>
            <w:r w:rsidR="00F0684D" w:rsidRPr="0020260C">
              <w:t>effort to gain an experience beyond students</w:t>
            </w:r>
            <w:r w:rsidRPr="0020260C">
              <w:t>’</w:t>
            </w:r>
            <w:r w:rsidR="00F0684D" w:rsidRPr="0020260C">
              <w:t xml:space="preserve"> individual cultural frame of reference.</w:t>
            </w:r>
          </w:p>
          <w:p w14:paraId="03E46E16" w14:textId="6C92B793" w:rsidR="00F0684D" w:rsidRDefault="0020260C" w:rsidP="00F0684D">
            <w:r>
              <w:t xml:space="preserve">     </w:t>
            </w:r>
            <w:r w:rsidR="00F0684D">
              <w:t xml:space="preserve">The </w:t>
            </w:r>
            <w:r w:rsidR="00D0237C">
              <w:t>D</w:t>
            </w:r>
            <w:r w:rsidR="00F0684D">
              <w:t xml:space="preserve">epartment is continuously seeking ways to improve candidate’s </w:t>
            </w:r>
            <w:proofErr w:type="spellStart"/>
            <w:r w:rsidR="00F0684D">
              <w:t>edTPA</w:t>
            </w:r>
            <w:proofErr w:type="spellEnd"/>
            <w:r w:rsidR="00F0684D">
              <w:t xml:space="preserve"> scores and instill effective teaching practices into our students</w:t>
            </w:r>
            <w:r w:rsidR="00D02ADA">
              <w:t xml:space="preserve">’ </w:t>
            </w:r>
            <w:r w:rsidR="00266402" w:rsidRPr="00266402">
              <w:t>repertoire</w:t>
            </w:r>
            <w:r w:rsidR="00266402">
              <w:t xml:space="preserve"> of skills</w:t>
            </w:r>
            <w:r w:rsidR="00F0684D">
              <w:t xml:space="preserve">. Faculty and staff conducted a two-day Curriculum Review workshop with Pearson to improve </w:t>
            </w:r>
            <w:r w:rsidR="00BA62CC">
              <w:t>effective teaching</w:t>
            </w:r>
            <w:r>
              <w:t xml:space="preserve"> in Spring 2020</w:t>
            </w:r>
            <w:r w:rsidR="00F0684D">
              <w:t>.</w:t>
            </w:r>
            <w:r w:rsidR="00C75D15">
              <w:t xml:space="preserve"> The Director of Clinical Experiences is also working with Pearson to develop a strong remediation plan for students who receive a 1.0 score on 2 or more </w:t>
            </w:r>
            <w:proofErr w:type="spellStart"/>
            <w:r w:rsidR="00C75D15">
              <w:t>edTPA</w:t>
            </w:r>
            <w:proofErr w:type="spellEnd"/>
            <w:r w:rsidR="00C75D15">
              <w:t xml:space="preserve"> rubrics.</w:t>
            </w:r>
            <w:r w:rsidR="00F0684D">
              <w:t xml:space="preserve"> PEDL faculty plan to meet </w:t>
            </w:r>
            <w:r w:rsidR="00BF35AC">
              <w:t xml:space="preserve">during the </w:t>
            </w:r>
            <w:r w:rsidR="00F0684D">
              <w:t>Summer 2020 to review the curriculum and discuss how they may better support students complet</w:t>
            </w:r>
            <w:r>
              <w:t>ing</w:t>
            </w:r>
            <w:r w:rsidR="00F0684D">
              <w:t xml:space="preserve"> the </w:t>
            </w:r>
            <w:proofErr w:type="spellStart"/>
            <w:r w:rsidR="00F0684D">
              <w:t>edTPA</w:t>
            </w:r>
            <w:proofErr w:type="spellEnd"/>
            <w:r w:rsidR="00F0684D">
              <w:t xml:space="preserve"> and focus on how they prepare students for unit and lesson planning </w:t>
            </w:r>
            <w:r w:rsidR="00DD1338">
              <w:t xml:space="preserve">experiences </w:t>
            </w:r>
            <w:r w:rsidR="00F0684D">
              <w:t>across classes.</w:t>
            </w:r>
            <w:r w:rsidR="008A4133">
              <w:t xml:space="preserve"> Campus faculty are also making similar plans.</w:t>
            </w:r>
          </w:p>
          <w:p w14:paraId="3BCE6969" w14:textId="10C2D441" w:rsidR="00C75D15" w:rsidRPr="0020260C" w:rsidRDefault="0020260C" w:rsidP="00C75D15">
            <w:r>
              <w:t xml:space="preserve">     </w:t>
            </w:r>
            <w:r w:rsidR="00C75D15" w:rsidRPr="0020260C">
              <w:t xml:space="preserve">Our students have struggled with background checks as each </w:t>
            </w:r>
            <w:r w:rsidR="00030B6A">
              <w:t>student teaching</w:t>
            </w:r>
            <w:r w:rsidR="002E6F1C">
              <w:t xml:space="preserve"> </w:t>
            </w:r>
            <w:r w:rsidR="00C75D15" w:rsidRPr="0020260C">
              <w:t>school</w:t>
            </w:r>
            <w:r w:rsidR="00030B6A">
              <w:t xml:space="preserve"> site</w:t>
            </w:r>
            <w:r w:rsidR="00C75D15" w:rsidRPr="0020260C">
              <w:t xml:space="preserve"> has different requirements and timelines. We are attempting to </w:t>
            </w:r>
            <w:r w:rsidR="00030B6A">
              <w:t>obtain</w:t>
            </w:r>
            <w:r w:rsidR="00030B6A" w:rsidRPr="0020260C">
              <w:t xml:space="preserve"> </w:t>
            </w:r>
            <w:r w:rsidR="00C75D15" w:rsidRPr="0020260C">
              <w:t>approval to create a</w:t>
            </w:r>
            <w:r w:rsidR="006934CC">
              <w:t>n acceptable</w:t>
            </w:r>
            <w:r w:rsidR="002E6F1C">
              <w:t xml:space="preserve"> </w:t>
            </w:r>
            <w:r w:rsidR="00C75D15" w:rsidRPr="0020260C">
              <w:t>BSU background check that streamlines the process and timeline for students and supports admission to smaller rural school districts.</w:t>
            </w:r>
          </w:p>
          <w:p w14:paraId="2422150B" w14:textId="42536CE5" w:rsidR="00C75D15" w:rsidRPr="00C75D15" w:rsidRDefault="0020260C" w:rsidP="0020260C">
            <w:r>
              <w:t xml:space="preserve">     </w:t>
            </w:r>
            <w:r w:rsidR="00C75D15">
              <w:t xml:space="preserve">With COVID-19 came issues related to field experiences and how our students will complete 100 hours before student teaching. The </w:t>
            </w:r>
            <w:r w:rsidR="006934CC">
              <w:t xml:space="preserve">Department </w:t>
            </w:r>
            <w:r w:rsidR="00C75D15">
              <w:t>is</w:t>
            </w:r>
            <w:r w:rsidR="001E4800">
              <w:t xml:space="preserve"> working</w:t>
            </w:r>
            <w:r w:rsidR="00C75D15">
              <w:t xml:space="preserve"> in </w:t>
            </w:r>
            <w:r w:rsidR="00C75D15" w:rsidRPr="0020260C">
              <w:t xml:space="preserve">collaboration with K-12 partner schools </w:t>
            </w:r>
            <w:r w:rsidRPr="0020260C">
              <w:t>to provide</w:t>
            </w:r>
            <w:r w:rsidR="00C75D15" w:rsidRPr="0020260C">
              <w:t xml:space="preserve"> online tutoring</w:t>
            </w:r>
            <w:r w:rsidRPr="0020260C">
              <w:t xml:space="preserve"> opportunities for our candidates to tutor a K-12 student</w:t>
            </w:r>
            <w:r w:rsidR="00C75D15" w:rsidRPr="0020260C">
              <w:t>.</w:t>
            </w:r>
          </w:p>
          <w:p w14:paraId="4A0B0741" w14:textId="77777777" w:rsidR="00C75D15" w:rsidRDefault="00C75D15">
            <w:pPr>
              <w:spacing w:line="240" w:lineRule="auto"/>
            </w:pPr>
          </w:p>
          <w:p w14:paraId="78501C41" w14:textId="35152794" w:rsidR="00A94E58" w:rsidRDefault="00A94E58">
            <w:pPr>
              <w:spacing w:line="240" w:lineRule="auto"/>
              <w:rPr>
                <w:b/>
                <w:bCs/>
              </w:rPr>
            </w:pPr>
            <w:r w:rsidRPr="00A94E58">
              <w:rPr>
                <w:b/>
                <w:bCs/>
              </w:rPr>
              <w:t xml:space="preserve">Priorities in </w:t>
            </w:r>
            <w:r w:rsidR="001F6798">
              <w:rPr>
                <w:b/>
                <w:bCs/>
              </w:rPr>
              <w:t xml:space="preserve">Our </w:t>
            </w:r>
            <w:r w:rsidRPr="00A94E58">
              <w:rPr>
                <w:b/>
                <w:bCs/>
              </w:rPr>
              <w:t xml:space="preserve">Current Agenda: </w:t>
            </w:r>
          </w:p>
          <w:p w14:paraId="6A7B0B8C" w14:textId="77777777" w:rsidR="001F6798" w:rsidRDefault="001F6798">
            <w:pPr>
              <w:spacing w:line="240" w:lineRule="auto"/>
              <w:rPr>
                <w:b/>
                <w:bCs/>
              </w:rPr>
            </w:pPr>
          </w:p>
          <w:p w14:paraId="5A3C1B0B" w14:textId="38757F19" w:rsidR="00A94E58" w:rsidRDefault="0020260C" w:rsidP="0020260C">
            <w:r>
              <w:rPr>
                <w:b/>
                <w:bCs/>
              </w:rPr>
              <w:t xml:space="preserve">     </w:t>
            </w:r>
            <w:r w:rsidR="00A94E58">
              <w:t xml:space="preserve">The </w:t>
            </w:r>
            <w:r w:rsidR="001F6798">
              <w:t xml:space="preserve">Professional </w:t>
            </w:r>
            <w:r w:rsidR="00A94E58">
              <w:t>Education Department has worked this year to meet PELSB Compliance standards based on our Spring 2019 site visit. A Compliance Report address</w:t>
            </w:r>
            <w:r>
              <w:t>ing</w:t>
            </w:r>
            <w:r w:rsidR="00A94E58">
              <w:t xml:space="preserve"> how our </w:t>
            </w:r>
            <w:r w:rsidR="00CF34B0">
              <w:lastRenderedPageBreak/>
              <w:t xml:space="preserve">Department </w:t>
            </w:r>
            <w:r w:rsidR="00A94E58">
              <w:t xml:space="preserve">has resolved these issues was created this year and sent to PELSB, </w:t>
            </w:r>
            <w:r w:rsidR="00CF34B0">
              <w:t xml:space="preserve">for </w:t>
            </w:r>
            <w:r w:rsidR="00A94E58">
              <w:t xml:space="preserve">which we are awaiting their response. Resolving these PELSB issues has been our top priority this year. </w:t>
            </w:r>
          </w:p>
          <w:p w14:paraId="5C5DA390" w14:textId="0E99B747" w:rsidR="00A94E58" w:rsidRDefault="00A94E58" w:rsidP="0020260C">
            <w:r>
              <w:t>Recently, we have been determining how best to accommodate students to meet licensure requirements and restrictions</w:t>
            </w:r>
            <w:r w:rsidR="00CF34B0">
              <w:t xml:space="preserve"> during COVID-19 </w:t>
            </w:r>
            <w:r>
              <w:t xml:space="preserve">without requiring students to attend school for an additional semester. </w:t>
            </w:r>
          </w:p>
          <w:p w14:paraId="4B867293" w14:textId="3A18E66D" w:rsidR="00A94E58" w:rsidRDefault="0020260C" w:rsidP="0020260C">
            <w:r>
              <w:t xml:space="preserve">     </w:t>
            </w:r>
            <w:r w:rsidR="00A94E58">
              <w:t>The Department is also working towards securing additional staff and faculty, specifically staff for the Clinical Office. This office is continuing to develop</w:t>
            </w:r>
            <w:r w:rsidR="00CF34B0">
              <w:t xml:space="preserve"> and foster</w:t>
            </w:r>
            <w:r w:rsidR="00A94E58">
              <w:t xml:space="preserve"> long-term field experience and student teaching relationships in our rural region. </w:t>
            </w:r>
          </w:p>
          <w:p w14:paraId="51231347" w14:textId="77777777" w:rsidR="00A94E58" w:rsidRDefault="00A94E58">
            <w:pPr>
              <w:spacing w:line="240" w:lineRule="auto"/>
            </w:pPr>
          </w:p>
          <w:p w14:paraId="6E779D1B" w14:textId="1DFFE071" w:rsidR="00A94E58" w:rsidRDefault="00A94E58">
            <w:pPr>
              <w:spacing w:line="240" w:lineRule="auto"/>
              <w:rPr>
                <w:b/>
                <w:bCs/>
              </w:rPr>
            </w:pPr>
            <w:r w:rsidRPr="00A94E58">
              <w:rPr>
                <w:b/>
                <w:bCs/>
              </w:rPr>
              <w:t xml:space="preserve">Innovations on </w:t>
            </w:r>
            <w:r w:rsidR="00F01C50">
              <w:rPr>
                <w:b/>
                <w:bCs/>
              </w:rPr>
              <w:t xml:space="preserve">The </w:t>
            </w:r>
            <w:r w:rsidRPr="00A94E58">
              <w:rPr>
                <w:b/>
                <w:bCs/>
              </w:rPr>
              <w:t xml:space="preserve">Horizon: </w:t>
            </w:r>
          </w:p>
          <w:p w14:paraId="286DB16A" w14:textId="641B98B7" w:rsidR="00C75D15" w:rsidRPr="0020260C" w:rsidRDefault="0020260C" w:rsidP="0020260C">
            <w:r>
              <w:rPr>
                <w:b/>
                <w:bCs/>
              </w:rPr>
              <w:t xml:space="preserve">     </w:t>
            </w:r>
            <w:r w:rsidR="00C75D15">
              <w:t xml:space="preserve">The </w:t>
            </w:r>
            <w:r w:rsidR="00F01C50">
              <w:t>C</w:t>
            </w:r>
            <w:r w:rsidR="00C75D15">
              <w:t xml:space="preserve">ampus Education program has been working to improve K-12 partnerships and develop more meaningful </w:t>
            </w:r>
            <w:r w:rsidR="004A52B8">
              <w:t>field p</w:t>
            </w:r>
            <w:r w:rsidR="00C75D15">
              <w:t xml:space="preserve">lacement experiences for </w:t>
            </w:r>
            <w:r w:rsidR="004A52B8">
              <w:t xml:space="preserve">teacher </w:t>
            </w:r>
            <w:r w:rsidR="00C75D15">
              <w:t xml:space="preserve">candidates. </w:t>
            </w:r>
            <w:r w:rsidR="00C75D15" w:rsidRPr="0020260C">
              <w:t xml:space="preserve">We have been collaborating with the schools to alter the Field Experience placements to </w:t>
            </w:r>
            <w:r w:rsidR="00C02E41">
              <w:t>address a series</w:t>
            </w:r>
            <w:r w:rsidR="00C75D15" w:rsidRPr="0020260C">
              <w:t xml:space="preserve"> of </w:t>
            </w:r>
            <w:r w:rsidR="004A52B8">
              <w:t xml:space="preserve">requests </w:t>
            </w:r>
            <w:r w:rsidR="00791A68">
              <w:t>from our cooperating schools</w:t>
            </w:r>
            <w:r w:rsidR="00C75D15" w:rsidRPr="0020260C">
              <w:t xml:space="preserve">, such as requiring our students to be in </w:t>
            </w:r>
            <w:r w:rsidRPr="0020260C">
              <w:t xml:space="preserve">a </w:t>
            </w:r>
            <w:r w:rsidR="00C75D15" w:rsidRPr="0020260C">
              <w:t xml:space="preserve">classroom 2 days in </w:t>
            </w:r>
            <w:r w:rsidRPr="0020260C">
              <w:t xml:space="preserve">a row </w:t>
            </w:r>
            <w:r w:rsidR="009045AB">
              <w:t>that</w:t>
            </w:r>
            <w:r w:rsidR="009045AB" w:rsidRPr="0020260C">
              <w:t xml:space="preserve"> </w:t>
            </w:r>
            <w:r w:rsidRPr="0020260C">
              <w:t>would</w:t>
            </w:r>
            <w:r w:rsidR="00C75D15" w:rsidRPr="0020260C">
              <w:t xml:space="preserve"> allow our students to learn </w:t>
            </w:r>
            <w:r w:rsidR="00C02E41">
              <w:t xml:space="preserve">more </w:t>
            </w:r>
            <w:r w:rsidR="00C75D15" w:rsidRPr="0020260C">
              <w:t>about and practice differentiation. This idea will be piloted Fall 2020.</w:t>
            </w:r>
          </w:p>
          <w:p w14:paraId="52F88688" w14:textId="63E27965" w:rsidR="00C75D15" w:rsidRPr="0020260C" w:rsidRDefault="0020260C" w:rsidP="0020260C">
            <w:r w:rsidRPr="0020260C">
              <w:t xml:space="preserve">     </w:t>
            </w:r>
            <w:r w:rsidR="00C75D15" w:rsidRPr="0020260C">
              <w:t>The program is also in the process of being approved to create an honorarium for field experience host teachers to promote deeper partnership</w:t>
            </w:r>
            <w:r w:rsidR="00CA5DC0">
              <w:t>s</w:t>
            </w:r>
            <w:r w:rsidR="00C75D15" w:rsidRPr="0020260C">
              <w:t xml:space="preserve">, respect, and feedback loops. </w:t>
            </w:r>
          </w:p>
          <w:p w14:paraId="32905A65" w14:textId="79E119D7" w:rsidR="00C75D15" w:rsidRPr="00C75D15" w:rsidRDefault="0020260C" w:rsidP="0020260C">
            <w:r>
              <w:t xml:space="preserve">     </w:t>
            </w:r>
            <w:r w:rsidR="00A775F9">
              <w:t>As stated above, t</w:t>
            </w:r>
            <w:r w:rsidR="008B28A7">
              <w:t>he Clinicals Office is working to</w:t>
            </w:r>
            <w:r w:rsidR="008B28A7" w:rsidRPr="0020260C">
              <w:t xml:space="preserve"> receive approval to create a BSU background check that streamlines the process and timeline for students and supports admission to smaller rural school districts.</w:t>
            </w:r>
            <w:r w:rsidR="008B28A7">
              <w:t xml:space="preserve"> Additionally, the</w:t>
            </w:r>
            <w:r>
              <w:t xml:space="preserve"> Diversity Committee is working to pilot a new course in Fall 2021 called </w:t>
            </w:r>
            <w:r w:rsidRPr="004C7865">
              <w:rPr>
                <w:i/>
                <w:iCs/>
              </w:rPr>
              <w:t>Teaching American Indian Students</w:t>
            </w:r>
            <w:r w:rsidR="004C7865">
              <w:rPr>
                <w:i/>
                <w:iCs/>
              </w:rPr>
              <w:t>.</w:t>
            </w:r>
            <w:r w:rsidR="008B28A7">
              <w:t xml:space="preserve"> </w:t>
            </w:r>
          </w:p>
        </w:tc>
      </w:tr>
    </w:tbl>
    <w:p w14:paraId="058DFF53" w14:textId="77777777" w:rsidR="00FB0310" w:rsidRDefault="00FB0310">
      <w:pPr>
        <w:rPr>
          <w:b/>
          <w:sz w:val="28"/>
          <w:szCs w:val="28"/>
        </w:rPr>
      </w:pPr>
    </w:p>
    <w:p w14:paraId="3388D876" w14:textId="77777777" w:rsidR="00FB0310" w:rsidRDefault="00FB0310"/>
    <w:sectPr w:rsidR="00FB0310">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0B8B2" w14:textId="77777777" w:rsidR="00E75C46" w:rsidRDefault="00E75C46">
      <w:pPr>
        <w:spacing w:line="240" w:lineRule="auto"/>
      </w:pPr>
      <w:r>
        <w:separator/>
      </w:r>
    </w:p>
  </w:endnote>
  <w:endnote w:type="continuationSeparator" w:id="0">
    <w:p w14:paraId="34DDB102" w14:textId="77777777" w:rsidR="00E75C46" w:rsidRDefault="00E75C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A0270" w14:textId="77777777" w:rsidR="00E75C46" w:rsidRDefault="00E75C4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3324" w14:textId="77777777" w:rsidR="00E75C46" w:rsidRDefault="00E75C46">
      <w:pPr>
        <w:spacing w:line="240" w:lineRule="auto"/>
      </w:pPr>
      <w:r>
        <w:separator/>
      </w:r>
    </w:p>
  </w:footnote>
  <w:footnote w:type="continuationSeparator" w:id="0">
    <w:p w14:paraId="4C77209A" w14:textId="77777777" w:rsidR="00E75C46" w:rsidRDefault="00E75C4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7FCF4" w14:textId="7821DAC2" w:rsidR="00E75C46" w:rsidRDefault="00E75C46">
    <w:pPr>
      <w:pStyle w:val="Header"/>
    </w:pPr>
    <w:r>
      <w:rPr>
        <w:noProof/>
      </w:rPr>
      <w:drawing>
        <wp:inline distT="0" distB="0" distL="0" distR="0" wp14:anchorId="45D23E29" wp14:editId="4678B0AE">
          <wp:extent cx="863600" cy="6370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QEP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876618" cy="646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54CDE"/>
    <w:multiLevelType w:val="hybridMultilevel"/>
    <w:tmpl w:val="44DAD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8F5745"/>
    <w:multiLevelType w:val="hybridMultilevel"/>
    <w:tmpl w:val="E6DE53D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77B39ED"/>
    <w:multiLevelType w:val="hybridMultilevel"/>
    <w:tmpl w:val="FBD2456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8F01B66"/>
    <w:multiLevelType w:val="hybridMultilevel"/>
    <w:tmpl w:val="C2642A1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EA82CE7"/>
    <w:multiLevelType w:val="multilevel"/>
    <w:tmpl w:val="ABA20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FFE528A"/>
    <w:multiLevelType w:val="multilevel"/>
    <w:tmpl w:val="5D668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310"/>
    <w:rsid w:val="00002A23"/>
    <w:rsid w:val="000272DE"/>
    <w:rsid w:val="00030B6A"/>
    <w:rsid w:val="000457E7"/>
    <w:rsid w:val="000513E7"/>
    <w:rsid w:val="00072F17"/>
    <w:rsid w:val="000A7DC6"/>
    <w:rsid w:val="00141C09"/>
    <w:rsid w:val="00144010"/>
    <w:rsid w:val="001646FD"/>
    <w:rsid w:val="001E2E3A"/>
    <w:rsid w:val="001E4800"/>
    <w:rsid w:val="001F6798"/>
    <w:rsid w:val="002014AD"/>
    <w:rsid w:val="0020260C"/>
    <w:rsid w:val="002039C4"/>
    <w:rsid w:val="00212B6E"/>
    <w:rsid w:val="0023497F"/>
    <w:rsid w:val="002551D1"/>
    <w:rsid w:val="002632BB"/>
    <w:rsid w:val="00266402"/>
    <w:rsid w:val="002764E2"/>
    <w:rsid w:val="002A5D67"/>
    <w:rsid w:val="002C672C"/>
    <w:rsid w:val="002E0714"/>
    <w:rsid w:val="002E6F1C"/>
    <w:rsid w:val="003008FA"/>
    <w:rsid w:val="00320BD0"/>
    <w:rsid w:val="00325A86"/>
    <w:rsid w:val="00354230"/>
    <w:rsid w:val="00394B9E"/>
    <w:rsid w:val="00405A97"/>
    <w:rsid w:val="00434623"/>
    <w:rsid w:val="004412F5"/>
    <w:rsid w:val="00463C3E"/>
    <w:rsid w:val="004674E1"/>
    <w:rsid w:val="004A52B8"/>
    <w:rsid w:val="004C7865"/>
    <w:rsid w:val="0050165C"/>
    <w:rsid w:val="00513BC7"/>
    <w:rsid w:val="00525505"/>
    <w:rsid w:val="00530ABC"/>
    <w:rsid w:val="005508F7"/>
    <w:rsid w:val="005607CB"/>
    <w:rsid w:val="0056747C"/>
    <w:rsid w:val="00612371"/>
    <w:rsid w:val="00621709"/>
    <w:rsid w:val="006558BB"/>
    <w:rsid w:val="006621A5"/>
    <w:rsid w:val="00681DB4"/>
    <w:rsid w:val="006934CC"/>
    <w:rsid w:val="006B1863"/>
    <w:rsid w:val="006B6CAA"/>
    <w:rsid w:val="006D3C3E"/>
    <w:rsid w:val="00714EBA"/>
    <w:rsid w:val="00747262"/>
    <w:rsid w:val="00755B4F"/>
    <w:rsid w:val="00791A68"/>
    <w:rsid w:val="007B409A"/>
    <w:rsid w:val="007D0D11"/>
    <w:rsid w:val="008476BE"/>
    <w:rsid w:val="008509A1"/>
    <w:rsid w:val="008647C4"/>
    <w:rsid w:val="0089686A"/>
    <w:rsid w:val="008A4133"/>
    <w:rsid w:val="008B28A7"/>
    <w:rsid w:val="009045AB"/>
    <w:rsid w:val="00916017"/>
    <w:rsid w:val="00925911"/>
    <w:rsid w:val="009511A8"/>
    <w:rsid w:val="00956356"/>
    <w:rsid w:val="009623F1"/>
    <w:rsid w:val="009D3487"/>
    <w:rsid w:val="009E777F"/>
    <w:rsid w:val="00A02F8F"/>
    <w:rsid w:val="00A160C2"/>
    <w:rsid w:val="00A213B4"/>
    <w:rsid w:val="00A37A44"/>
    <w:rsid w:val="00A627F2"/>
    <w:rsid w:val="00A65A0C"/>
    <w:rsid w:val="00A6752F"/>
    <w:rsid w:val="00A775F9"/>
    <w:rsid w:val="00A77FDF"/>
    <w:rsid w:val="00A94E58"/>
    <w:rsid w:val="00AD61C1"/>
    <w:rsid w:val="00AF5BCB"/>
    <w:rsid w:val="00B36E47"/>
    <w:rsid w:val="00B5307F"/>
    <w:rsid w:val="00B531DF"/>
    <w:rsid w:val="00B564C0"/>
    <w:rsid w:val="00B608AC"/>
    <w:rsid w:val="00B7131F"/>
    <w:rsid w:val="00B917F2"/>
    <w:rsid w:val="00BA62CC"/>
    <w:rsid w:val="00BD43A1"/>
    <w:rsid w:val="00BF35AC"/>
    <w:rsid w:val="00BF7101"/>
    <w:rsid w:val="00C02E41"/>
    <w:rsid w:val="00C15446"/>
    <w:rsid w:val="00C3535C"/>
    <w:rsid w:val="00C6206E"/>
    <w:rsid w:val="00C75D15"/>
    <w:rsid w:val="00C8122C"/>
    <w:rsid w:val="00C95C77"/>
    <w:rsid w:val="00CA0279"/>
    <w:rsid w:val="00CA5DC0"/>
    <w:rsid w:val="00CB6BCC"/>
    <w:rsid w:val="00CC159E"/>
    <w:rsid w:val="00CF34B0"/>
    <w:rsid w:val="00D0237C"/>
    <w:rsid w:val="00D02ADA"/>
    <w:rsid w:val="00D05F4E"/>
    <w:rsid w:val="00D1251E"/>
    <w:rsid w:val="00D23994"/>
    <w:rsid w:val="00D3283F"/>
    <w:rsid w:val="00D75C16"/>
    <w:rsid w:val="00D86A92"/>
    <w:rsid w:val="00D93460"/>
    <w:rsid w:val="00DB434E"/>
    <w:rsid w:val="00DB6E9C"/>
    <w:rsid w:val="00DC4A24"/>
    <w:rsid w:val="00DD1338"/>
    <w:rsid w:val="00DD30E6"/>
    <w:rsid w:val="00E1463F"/>
    <w:rsid w:val="00E17A91"/>
    <w:rsid w:val="00E46C72"/>
    <w:rsid w:val="00E75C46"/>
    <w:rsid w:val="00ED14E6"/>
    <w:rsid w:val="00EE15DC"/>
    <w:rsid w:val="00F00A40"/>
    <w:rsid w:val="00F01C50"/>
    <w:rsid w:val="00F0684D"/>
    <w:rsid w:val="00F15C7E"/>
    <w:rsid w:val="00F2792C"/>
    <w:rsid w:val="00F72E19"/>
    <w:rsid w:val="00F7501B"/>
    <w:rsid w:val="00FB0310"/>
    <w:rsid w:val="00FD0C09"/>
    <w:rsid w:val="00FD4461"/>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6EC5"/>
  <w15:docId w15:val="{1CFB0039-E0D8-5745-93C8-B93E1DE7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8" w:type="dxa"/>
        <w:left w:w="72" w:type="dxa"/>
        <w:bottom w:w="72" w:type="dxa"/>
        <w:right w:w="72" w:type="dxa"/>
      </w:tblCellMar>
    </w:tblPr>
  </w:style>
  <w:style w:type="table" w:customStyle="1" w:styleId="a1">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15" w:type="dxa"/>
        <w:bottom w:w="100" w:type="dxa"/>
        <w:right w:w="115" w:type="dxa"/>
      </w:tblCellMar>
    </w:tblPr>
  </w:style>
  <w:style w:type="table" w:customStyle="1" w:styleId="a2">
    <w:basedOn w:val="TableNormal"/>
    <w:pPr>
      <w:pBdr>
        <w:top w:val="none" w:sz="0" w:space="0" w:color="000000"/>
        <w:left w:val="none" w:sz="0" w:space="0" w:color="000000"/>
        <w:bottom w:val="none" w:sz="0" w:space="0" w:color="000000"/>
        <w:right w:val="none" w:sz="0" w:space="0" w:color="000000"/>
        <w:between w:val="none" w:sz="0" w:space="0" w:color="000000"/>
      </w:pBdr>
      <w:spacing w:line="240" w:lineRule="auto"/>
    </w:pPr>
    <w:rPr>
      <w:rFonts w:ascii="Cambria" w:eastAsia="Cambria" w:hAnsi="Cambria" w:cs="Cambria"/>
      <w:color w:val="000000"/>
      <w:sz w:val="24"/>
      <w:szCs w:val="24"/>
    </w:rPr>
    <w:tblPr>
      <w:tblStyleRowBandSize w:val="1"/>
      <w:tblStyleColBandSize w:val="1"/>
      <w:tblCellMar>
        <w:top w:w="100" w:type="dxa"/>
        <w:left w:w="115" w:type="dxa"/>
        <w:bottom w:w="100"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607CB"/>
    <w:pPr>
      <w:tabs>
        <w:tab w:val="center" w:pos="4680"/>
        <w:tab w:val="right" w:pos="9360"/>
      </w:tabs>
      <w:spacing w:line="240" w:lineRule="auto"/>
    </w:pPr>
  </w:style>
  <w:style w:type="character" w:customStyle="1" w:styleId="HeaderChar">
    <w:name w:val="Header Char"/>
    <w:basedOn w:val="DefaultParagraphFont"/>
    <w:link w:val="Header"/>
    <w:uiPriority w:val="99"/>
    <w:rsid w:val="005607CB"/>
  </w:style>
  <w:style w:type="paragraph" w:styleId="Footer">
    <w:name w:val="footer"/>
    <w:basedOn w:val="Normal"/>
    <w:link w:val="FooterChar"/>
    <w:uiPriority w:val="99"/>
    <w:unhideWhenUsed/>
    <w:rsid w:val="005607CB"/>
    <w:pPr>
      <w:tabs>
        <w:tab w:val="center" w:pos="4680"/>
        <w:tab w:val="right" w:pos="9360"/>
      </w:tabs>
      <w:spacing w:line="240" w:lineRule="auto"/>
    </w:pPr>
  </w:style>
  <w:style w:type="character" w:customStyle="1" w:styleId="FooterChar">
    <w:name w:val="Footer Char"/>
    <w:basedOn w:val="DefaultParagraphFont"/>
    <w:link w:val="Footer"/>
    <w:uiPriority w:val="99"/>
    <w:rsid w:val="005607CB"/>
  </w:style>
  <w:style w:type="character" w:styleId="Hyperlink">
    <w:name w:val="Hyperlink"/>
    <w:basedOn w:val="DefaultParagraphFont"/>
    <w:uiPriority w:val="99"/>
    <w:semiHidden/>
    <w:unhideWhenUsed/>
    <w:rsid w:val="0023497F"/>
    <w:rPr>
      <w:color w:val="0000FF"/>
      <w:u w:val="single"/>
    </w:rPr>
  </w:style>
  <w:style w:type="paragraph" w:styleId="NormalWeb">
    <w:name w:val="Normal (Web)"/>
    <w:basedOn w:val="Normal"/>
    <w:uiPriority w:val="99"/>
    <w:semiHidden/>
    <w:unhideWhenUsed/>
    <w:rsid w:val="0023497F"/>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FD0C0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1D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DB4"/>
    <w:rPr>
      <w:rFonts w:ascii="Segoe UI" w:hAnsi="Segoe UI" w:cs="Segoe UI"/>
      <w:sz w:val="18"/>
      <w:szCs w:val="18"/>
    </w:rPr>
  </w:style>
  <w:style w:type="paragraph" w:styleId="ListParagraph">
    <w:name w:val="List Paragraph"/>
    <w:basedOn w:val="Normal"/>
    <w:uiPriority w:val="34"/>
    <w:qFormat/>
    <w:rsid w:val="00F72E19"/>
    <w:pPr>
      <w:spacing w:line="240" w:lineRule="auto"/>
      <w:ind w:left="720"/>
    </w:pPr>
    <w:rPr>
      <w:rFonts w:ascii="Calibri" w:eastAsiaTheme="minorHAnsi" w:hAnsi="Calibri" w:cs="Calibri"/>
      <w:lang w:val="en-US"/>
    </w:rPr>
  </w:style>
  <w:style w:type="character" w:styleId="CommentReference">
    <w:name w:val="annotation reference"/>
    <w:basedOn w:val="DefaultParagraphFont"/>
    <w:uiPriority w:val="99"/>
    <w:semiHidden/>
    <w:unhideWhenUsed/>
    <w:rsid w:val="00A213B4"/>
    <w:rPr>
      <w:sz w:val="16"/>
      <w:szCs w:val="16"/>
    </w:rPr>
  </w:style>
  <w:style w:type="paragraph" w:styleId="CommentText">
    <w:name w:val="annotation text"/>
    <w:basedOn w:val="Normal"/>
    <w:link w:val="CommentTextChar"/>
    <w:uiPriority w:val="99"/>
    <w:semiHidden/>
    <w:unhideWhenUsed/>
    <w:rsid w:val="00A213B4"/>
    <w:pPr>
      <w:spacing w:line="240" w:lineRule="auto"/>
    </w:pPr>
    <w:rPr>
      <w:sz w:val="20"/>
      <w:szCs w:val="20"/>
    </w:rPr>
  </w:style>
  <w:style w:type="character" w:customStyle="1" w:styleId="CommentTextChar">
    <w:name w:val="Comment Text Char"/>
    <w:basedOn w:val="DefaultParagraphFont"/>
    <w:link w:val="CommentText"/>
    <w:uiPriority w:val="99"/>
    <w:semiHidden/>
    <w:rsid w:val="00A213B4"/>
    <w:rPr>
      <w:sz w:val="20"/>
      <w:szCs w:val="20"/>
    </w:rPr>
  </w:style>
  <w:style w:type="paragraph" w:styleId="CommentSubject">
    <w:name w:val="annotation subject"/>
    <w:basedOn w:val="CommentText"/>
    <w:next w:val="CommentText"/>
    <w:link w:val="CommentSubjectChar"/>
    <w:uiPriority w:val="99"/>
    <w:semiHidden/>
    <w:unhideWhenUsed/>
    <w:rsid w:val="00A213B4"/>
    <w:rPr>
      <w:b/>
      <w:bCs/>
    </w:rPr>
  </w:style>
  <w:style w:type="character" w:customStyle="1" w:styleId="CommentSubjectChar">
    <w:name w:val="Comment Subject Char"/>
    <w:basedOn w:val="CommentTextChar"/>
    <w:link w:val="CommentSubject"/>
    <w:uiPriority w:val="99"/>
    <w:semiHidden/>
    <w:rsid w:val="00A213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05278">
      <w:bodyDiv w:val="1"/>
      <w:marLeft w:val="0"/>
      <w:marRight w:val="0"/>
      <w:marTop w:val="0"/>
      <w:marBottom w:val="0"/>
      <w:divBdr>
        <w:top w:val="none" w:sz="0" w:space="0" w:color="auto"/>
        <w:left w:val="none" w:sz="0" w:space="0" w:color="auto"/>
        <w:bottom w:val="none" w:sz="0" w:space="0" w:color="auto"/>
        <w:right w:val="none" w:sz="0" w:space="0" w:color="auto"/>
      </w:divBdr>
    </w:div>
    <w:div w:id="148834683">
      <w:bodyDiv w:val="1"/>
      <w:marLeft w:val="0"/>
      <w:marRight w:val="0"/>
      <w:marTop w:val="0"/>
      <w:marBottom w:val="0"/>
      <w:divBdr>
        <w:top w:val="none" w:sz="0" w:space="0" w:color="auto"/>
        <w:left w:val="none" w:sz="0" w:space="0" w:color="auto"/>
        <w:bottom w:val="none" w:sz="0" w:space="0" w:color="auto"/>
        <w:right w:val="none" w:sz="0" w:space="0" w:color="auto"/>
      </w:divBdr>
    </w:div>
    <w:div w:id="222957416">
      <w:bodyDiv w:val="1"/>
      <w:marLeft w:val="0"/>
      <w:marRight w:val="0"/>
      <w:marTop w:val="0"/>
      <w:marBottom w:val="0"/>
      <w:divBdr>
        <w:top w:val="none" w:sz="0" w:space="0" w:color="auto"/>
        <w:left w:val="none" w:sz="0" w:space="0" w:color="auto"/>
        <w:bottom w:val="none" w:sz="0" w:space="0" w:color="auto"/>
        <w:right w:val="none" w:sz="0" w:space="0" w:color="auto"/>
      </w:divBdr>
    </w:div>
    <w:div w:id="239870002">
      <w:bodyDiv w:val="1"/>
      <w:marLeft w:val="0"/>
      <w:marRight w:val="0"/>
      <w:marTop w:val="0"/>
      <w:marBottom w:val="0"/>
      <w:divBdr>
        <w:top w:val="none" w:sz="0" w:space="0" w:color="auto"/>
        <w:left w:val="none" w:sz="0" w:space="0" w:color="auto"/>
        <w:bottom w:val="none" w:sz="0" w:space="0" w:color="auto"/>
        <w:right w:val="none" w:sz="0" w:space="0" w:color="auto"/>
      </w:divBdr>
    </w:div>
    <w:div w:id="260767947">
      <w:bodyDiv w:val="1"/>
      <w:marLeft w:val="0"/>
      <w:marRight w:val="0"/>
      <w:marTop w:val="0"/>
      <w:marBottom w:val="0"/>
      <w:divBdr>
        <w:top w:val="none" w:sz="0" w:space="0" w:color="auto"/>
        <w:left w:val="none" w:sz="0" w:space="0" w:color="auto"/>
        <w:bottom w:val="none" w:sz="0" w:space="0" w:color="auto"/>
        <w:right w:val="none" w:sz="0" w:space="0" w:color="auto"/>
      </w:divBdr>
    </w:div>
    <w:div w:id="268513857">
      <w:bodyDiv w:val="1"/>
      <w:marLeft w:val="0"/>
      <w:marRight w:val="0"/>
      <w:marTop w:val="0"/>
      <w:marBottom w:val="0"/>
      <w:divBdr>
        <w:top w:val="none" w:sz="0" w:space="0" w:color="auto"/>
        <w:left w:val="none" w:sz="0" w:space="0" w:color="auto"/>
        <w:bottom w:val="none" w:sz="0" w:space="0" w:color="auto"/>
        <w:right w:val="none" w:sz="0" w:space="0" w:color="auto"/>
      </w:divBdr>
    </w:div>
    <w:div w:id="282081427">
      <w:bodyDiv w:val="1"/>
      <w:marLeft w:val="0"/>
      <w:marRight w:val="0"/>
      <w:marTop w:val="0"/>
      <w:marBottom w:val="0"/>
      <w:divBdr>
        <w:top w:val="none" w:sz="0" w:space="0" w:color="auto"/>
        <w:left w:val="none" w:sz="0" w:space="0" w:color="auto"/>
        <w:bottom w:val="none" w:sz="0" w:space="0" w:color="auto"/>
        <w:right w:val="none" w:sz="0" w:space="0" w:color="auto"/>
      </w:divBdr>
    </w:div>
    <w:div w:id="421679577">
      <w:bodyDiv w:val="1"/>
      <w:marLeft w:val="0"/>
      <w:marRight w:val="0"/>
      <w:marTop w:val="0"/>
      <w:marBottom w:val="0"/>
      <w:divBdr>
        <w:top w:val="none" w:sz="0" w:space="0" w:color="auto"/>
        <w:left w:val="none" w:sz="0" w:space="0" w:color="auto"/>
        <w:bottom w:val="none" w:sz="0" w:space="0" w:color="auto"/>
        <w:right w:val="none" w:sz="0" w:space="0" w:color="auto"/>
      </w:divBdr>
    </w:div>
    <w:div w:id="564874563">
      <w:bodyDiv w:val="1"/>
      <w:marLeft w:val="0"/>
      <w:marRight w:val="0"/>
      <w:marTop w:val="0"/>
      <w:marBottom w:val="0"/>
      <w:divBdr>
        <w:top w:val="none" w:sz="0" w:space="0" w:color="auto"/>
        <w:left w:val="none" w:sz="0" w:space="0" w:color="auto"/>
        <w:bottom w:val="none" w:sz="0" w:space="0" w:color="auto"/>
        <w:right w:val="none" w:sz="0" w:space="0" w:color="auto"/>
      </w:divBdr>
    </w:div>
    <w:div w:id="709260398">
      <w:bodyDiv w:val="1"/>
      <w:marLeft w:val="0"/>
      <w:marRight w:val="0"/>
      <w:marTop w:val="0"/>
      <w:marBottom w:val="0"/>
      <w:divBdr>
        <w:top w:val="none" w:sz="0" w:space="0" w:color="auto"/>
        <w:left w:val="none" w:sz="0" w:space="0" w:color="auto"/>
        <w:bottom w:val="none" w:sz="0" w:space="0" w:color="auto"/>
        <w:right w:val="none" w:sz="0" w:space="0" w:color="auto"/>
      </w:divBdr>
    </w:div>
    <w:div w:id="711152383">
      <w:bodyDiv w:val="1"/>
      <w:marLeft w:val="0"/>
      <w:marRight w:val="0"/>
      <w:marTop w:val="0"/>
      <w:marBottom w:val="0"/>
      <w:divBdr>
        <w:top w:val="none" w:sz="0" w:space="0" w:color="auto"/>
        <w:left w:val="none" w:sz="0" w:space="0" w:color="auto"/>
        <w:bottom w:val="none" w:sz="0" w:space="0" w:color="auto"/>
        <w:right w:val="none" w:sz="0" w:space="0" w:color="auto"/>
      </w:divBdr>
    </w:div>
    <w:div w:id="764378207">
      <w:bodyDiv w:val="1"/>
      <w:marLeft w:val="0"/>
      <w:marRight w:val="0"/>
      <w:marTop w:val="0"/>
      <w:marBottom w:val="0"/>
      <w:divBdr>
        <w:top w:val="none" w:sz="0" w:space="0" w:color="auto"/>
        <w:left w:val="none" w:sz="0" w:space="0" w:color="auto"/>
        <w:bottom w:val="none" w:sz="0" w:space="0" w:color="auto"/>
        <w:right w:val="none" w:sz="0" w:space="0" w:color="auto"/>
      </w:divBdr>
    </w:div>
    <w:div w:id="1009066779">
      <w:bodyDiv w:val="1"/>
      <w:marLeft w:val="0"/>
      <w:marRight w:val="0"/>
      <w:marTop w:val="0"/>
      <w:marBottom w:val="0"/>
      <w:divBdr>
        <w:top w:val="none" w:sz="0" w:space="0" w:color="auto"/>
        <w:left w:val="none" w:sz="0" w:space="0" w:color="auto"/>
        <w:bottom w:val="none" w:sz="0" w:space="0" w:color="auto"/>
        <w:right w:val="none" w:sz="0" w:space="0" w:color="auto"/>
      </w:divBdr>
    </w:div>
    <w:div w:id="1040401084">
      <w:bodyDiv w:val="1"/>
      <w:marLeft w:val="0"/>
      <w:marRight w:val="0"/>
      <w:marTop w:val="0"/>
      <w:marBottom w:val="0"/>
      <w:divBdr>
        <w:top w:val="none" w:sz="0" w:space="0" w:color="auto"/>
        <w:left w:val="none" w:sz="0" w:space="0" w:color="auto"/>
        <w:bottom w:val="none" w:sz="0" w:space="0" w:color="auto"/>
        <w:right w:val="none" w:sz="0" w:space="0" w:color="auto"/>
      </w:divBdr>
    </w:div>
    <w:div w:id="1100031184">
      <w:bodyDiv w:val="1"/>
      <w:marLeft w:val="0"/>
      <w:marRight w:val="0"/>
      <w:marTop w:val="0"/>
      <w:marBottom w:val="0"/>
      <w:divBdr>
        <w:top w:val="none" w:sz="0" w:space="0" w:color="auto"/>
        <w:left w:val="none" w:sz="0" w:space="0" w:color="auto"/>
        <w:bottom w:val="none" w:sz="0" w:space="0" w:color="auto"/>
        <w:right w:val="none" w:sz="0" w:space="0" w:color="auto"/>
      </w:divBdr>
    </w:div>
    <w:div w:id="1124272283">
      <w:bodyDiv w:val="1"/>
      <w:marLeft w:val="0"/>
      <w:marRight w:val="0"/>
      <w:marTop w:val="0"/>
      <w:marBottom w:val="0"/>
      <w:divBdr>
        <w:top w:val="none" w:sz="0" w:space="0" w:color="auto"/>
        <w:left w:val="none" w:sz="0" w:space="0" w:color="auto"/>
        <w:bottom w:val="none" w:sz="0" w:space="0" w:color="auto"/>
        <w:right w:val="none" w:sz="0" w:space="0" w:color="auto"/>
      </w:divBdr>
    </w:div>
    <w:div w:id="1186137187">
      <w:bodyDiv w:val="1"/>
      <w:marLeft w:val="0"/>
      <w:marRight w:val="0"/>
      <w:marTop w:val="0"/>
      <w:marBottom w:val="0"/>
      <w:divBdr>
        <w:top w:val="none" w:sz="0" w:space="0" w:color="auto"/>
        <w:left w:val="none" w:sz="0" w:space="0" w:color="auto"/>
        <w:bottom w:val="none" w:sz="0" w:space="0" w:color="auto"/>
        <w:right w:val="none" w:sz="0" w:space="0" w:color="auto"/>
      </w:divBdr>
    </w:div>
    <w:div w:id="1227178862">
      <w:bodyDiv w:val="1"/>
      <w:marLeft w:val="0"/>
      <w:marRight w:val="0"/>
      <w:marTop w:val="0"/>
      <w:marBottom w:val="0"/>
      <w:divBdr>
        <w:top w:val="none" w:sz="0" w:space="0" w:color="auto"/>
        <w:left w:val="none" w:sz="0" w:space="0" w:color="auto"/>
        <w:bottom w:val="none" w:sz="0" w:space="0" w:color="auto"/>
        <w:right w:val="none" w:sz="0" w:space="0" w:color="auto"/>
      </w:divBdr>
    </w:div>
    <w:div w:id="1227565669">
      <w:bodyDiv w:val="1"/>
      <w:marLeft w:val="0"/>
      <w:marRight w:val="0"/>
      <w:marTop w:val="0"/>
      <w:marBottom w:val="0"/>
      <w:divBdr>
        <w:top w:val="none" w:sz="0" w:space="0" w:color="auto"/>
        <w:left w:val="none" w:sz="0" w:space="0" w:color="auto"/>
        <w:bottom w:val="none" w:sz="0" w:space="0" w:color="auto"/>
        <w:right w:val="none" w:sz="0" w:space="0" w:color="auto"/>
      </w:divBdr>
    </w:div>
    <w:div w:id="1363050333">
      <w:bodyDiv w:val="1"/>
      <w:marLeft w:val="0"/>
      <w:marRight w:val="0"/>
      <w:marTop w:val="0"/>
      <w:marBottom w:val="0"/>
      <w:divBdr>
        <w:top w:val="none" w:sz="0" w:space="0" w:color="auto"/>
        <w:left w:val="none" w:sz="0" w:space="0" w:color="auto"/>
        <w:bottom w:val="none" w:sz="0" w:space="0" w:color="auto"/>
        <w:right w:val="none" w:sz="0" w:space="0" w:color="auto"/>
      </w:divBdr>
    </w:div>
    <w:div w:id="1409763507">
      <w:bodyDiv w:val="1"/>
      <w:marLeft w:val="0"/>
      <w:marRight w:val="0"/>
      <w:marTop w:val="0"/>
      <w:marBottom w:val="0"/>
      <w:divBdr>
        <w:top w:val="none" w:sz="0" w:space="0" w:color="auto"/>
        <w:left w:val="none" w:sz="0" w:space="0" w:color="auto"/>
        <w:bottom w:val="none" w:sz="0" w:space="0" w:color="auto"/>
        <w:right w:val="none" w:sz="0" w:space="0" w:color="auto"/>
      </w:divBdr>
    </w:div>
    <w:div w:id="1411192913">
      <w:bodyDiv w:val="1"/>
      <w:marLeft w:val="0"/>
      <w:marRight w:val="0"/>
      <w:marTop w:val="0"/>
      <w:marBottom w:val="0"/>
      <w:divBdr>
        <w:top w:val="none" w:sz="0" w:space="0" w:color="auto"/>
        <w:left w:val="none" w:sz="0" w:space="0" w:color="auto"/>
        <w:bottom w:val="none" w:sz="0" w:space="0" w:color="auto"/>
        <w:right w:val="none" w:sz="0" w:space="0" w:color="auto"/>
      </w:divBdr>
    </w:div>
    <w:div w:id="1533767255">
      <w:bodyDiv w:val="1"/>
      <w:marLeft w:val="0"/>
      <w:marRight w:val="0"/>
      <w:marTop w:val="0"/>
      <w:marBottom w:val="0"/>
      <w:divBdr>
        <w:top w:val="none" w:sz="0" w:space="0" w:color="auto"/>
        <w:left w:val="none" w:sz="0" w:space="0" w:color="auto"/>
        <w:bottom w:val="none" w:sz="0" w:space="0" w:color="auto"/>
        <w:right w:val="none" w:sz="0" w:space="0" w:color="auto"/>
      </w:divBdr>
    </w:div>
    <w:div w:id="1554854338">
      <w:bodyDiv w:val="1"/>
      <w:marLeft w:val="0"/>
      <w:marRight w:val="0"/>
      <w:marTop w:val="0"/>
      <w:marBottom w:val="0"/>
      <w:divBdr>
        <w:top w:val="none" w:sz="0" w:space="0" w:color="auto"/>
        <w:left w:val="none" w:sz="0" w:space="0" w:color="auto"/>
        <w:bottom w:val="none" w:sz="0" w:space="0" w:color="auto"/>
        <w:right w:val="none" w:sz="0" w:space="0" w:color="auto"/>
      </w:divBdr>
    </w:div>
    <w:div w:id="1646351148">
      <w:bodyDiv w:val="1"/>
      <w:marLeft w:val="0"/>
      <w:marRight w:val="0"/>
      <w:marTop w:val="0"/>
      <w:marBottom w:val="0"/>
      <w:divBdr>
        <w:top w:val="none" w:sz="0" w:space="0" w:color="auto"/>
        <w:left w:val="none" w:sz="0" w:space="0" w:color="auto"/>
        <w:bottom w:val="none" w:sz="0" w:space="0" w:color="auto"/>
        <w:right w:val="none" w:sz="0" w:space="0" w:color="auto"/>
      </w:divBdr>
    </w:div>
    <w:div w:id="1891842669">
      <w:bodyDiv w:val="1"/>
      <w:marLeft w:val="0"/>
      <w:marRight w:val="0"/>
      <w:marTop w:val="0"/>
      <w:marBottom w:val="0"/>
      <w:divBdr>
        <w:top w:val="none" w:sz="0" w:space="0" w:color="auto"/>
        <w:left w:val="none" w:sz="0" w:space="0" w:color="auto"/>
        <w:bottom w:val="none" w:sz="0" w:space="0" w:color="auto"/>
        <w:right w:val="none" w:sz="0" w:space="0" w:color="auto"/>
      </w:divBdr>
    </w:div>
    <w:div w:id="1958489885">
      <w:bodyDiv w:val="1"/>
      <w:marLeft w:val="0"/>
      <w:marRight w:val="0"/>
      <w:marTop w:val="0"/>
      <w:marBottom w:val="0"/>
      <w:divBdr>
        <w:top w:val="none" w:sz="0" w:space="0" w:color="auto"/>
        <w:left w:val="none" w:sz="0" w:space="0" w:color="auto"/>
        <w:bottom w:val="none" w:sz="0" w:space="0" w:color="auto"/>
        <w:right w:val="none" w:sz="0" w:space="0" w:color="auto"/>
      </w:divBdr>
    </w:div>
    <w:div w:id="1967658092">
      <w:bodyDiv w:val="1"/>
      <w:marLeft w:val="0"/>
      <w:marRight w:val="0"/>
      <w:marTop w:val="0"/>
      <w:marBottom w:val="0"/>
      <w:divBdr>
        <w:top w:val="none" w:sz="0" w:space="0" w:color="auto"/>
        <w:left w:val="none" w:sz="0" w:space="0" w:color="auto"/>
        <w:bottom w:val="none" w:sz="0" w:space="0" w:color="auto"/>
        <w:right w:val="none" w:sz="0" w:space="0" w:color="auto"/>
      </w:divBdr>
    </w:div>
    <w:div w:id="2002584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emidjistate.edu/academics/online-dist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emidjistate.edu/academics/gradua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emidjistate.edu/academics/undergraduate" TargetMode="External"/><Relationship Id="rId5" Type="http://schemas.openxmlformats.org/officeDocument/2006/relationships/numbering" Target="numbering.xml"/><Relationship Id="rId15" Type="http://schemas.openxmlformats.org/officeDocument/2006/relationships/hyperlink" Target="https://www.revisor.mn.gov/rules/?id=8710.200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midjistate.edu/academics/departments/professional-education/about/conceptual-frame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6FA8ACF32082438D477B54BBFF7CFD" ma:contentTypeVersion="14" ma:contentTypeDescription="Create a new document." ma:contentTypeScope="" ma:versionID="e8d554458068d87b5e8936d77faf8d5e">
  <xsd:schema xmlns:xsd="http://www.w3.org/2001/XMLSchema" xmlns:xs="http://www.w3.org/2001/XMLSchema" xmlns:p="http://schemas.microsoft.com/office/2006/metadata/properties" xmlns:ns3="51984495-e3ef-4de4-8363-5f167574c43e" xmlns:ns4="60eb4817-b9fc-408f-bb53-d726bc8f3c3c" targetNamespace="http://schemas.microsoft.com/office/2006/metadata/properties" ma:root="true" ma:fieldsID="f450dfe5950b198e94ee736bf4c8c3cd" ns3:_="" ns4:_="">
    <xsd:import namespace="51984495-e3ef-4de4-8363-5f167574c43e"/>
    <xsd:import namespace="60eb4817-b9fc-408f-bb53-d726bc8f3c3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84495-e3ef-4de4-8363-5f167574c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b4817-b9fc-408f-bb53-d726bc8f3c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7C6DC3-FD89-49A1-98C4-23FD6A0400C3}">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51984495-e3ef-4de4-8363-5f167574c43e"/>
    <ds:schemaRef ds:uri="http://purl.org/dc/terms/"/>
    <ds:schemaRef ds:uri="http://schemas.microsoft.com/office/infopath/2007/PartnerControls"/>
    <ds:schemaRef ds:uri="60eb4817-b9fc-408f-bb53-d726bc8f3c3c"/>
    <ds:schemaRef ds:uri="http://www.w3.org/XML/1998/namespace"/>
    <ds:schemaRef ds:uri="http://purl.org/dc/dcmitype/"/>
  </ds:schemaRefs>
</ds:datastoreItem>
</file>

<file path=customXml/itemProps2.xml><?xml version="1.0" encoding="utf-8"?>
<ds:datastoreItem xmlns:ds="http://schemas.openxmlformats.org/officeDocument/2006/customXml" ds:itemID="{60A05C23-15F6-43B1-9250-A81FE7E7183B}">
  <ds:schemaRefs>
    <ds:schemaRef ds:uri="http://schemas.microsoft.com/sharepoint/v3/contenttype/forms"/>
  </ds:schemaRefs>
</ds:datastoreItem>
</file>

<file path=customXml/itemProps3.xml><?xml version="1.0" encoding="utf-8"?>
<ds:datastoreItem xmlns:ds="http://schemas.openxmlformats.org/officeDocument/2006/customXml" ds:itemID="{75E02D2B-3675-4683-B928-E3056331E652}">
  <ds:schemaRefs>
    <ds:schemaRef ds:uri="http://schemas.openxmlformats.org/officeDocument/2006/bibliography"/>
  </ds:schemaRefs>
</ds:datastoreItem>
</file>

<file path=customXml/itemProps4.xml><?xml version="1.0" encoding="utf-8"?>
<ds:datastoreItem xmlns:ds="http://schemas.openxmlformats.org/officeDocument/2006/customXml" ds:itemID="{4B368059-348D-421E-8F93-F0514D01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84495-e3ef-4de4-8363-5f167574c43e"/>
    <ds:schemaRef ds:uri="60eb4817-b9fc-408f-bb53-d726bc8f3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3880</Words>
  <Characters>22117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Lubke</dc:creator>
  <cp:lastModifiedBy>Chesley, Amanda W</cp:lastModifiedBy>
  <cp:revision>4</cp:revision>
  <dcterms:created xsi:type="dcterms:W3CDTF">2020-04-30T17:44:00Z</dcterms:created>
  <dcterms:modified xsi:type="dcterms:W3CDTF">2020-04-30T20:14:00Z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0x010100326FA8ACF32082438D477B54BBFF7CFD</vt:lpwstr>
  </property>
</Properties>
</file>